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40" w:rsidRPr="00991783" w:rsidRDefault="00220240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Pr="00991783" w:rsidRDefault="00AB2C74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991783">
        <w:rPr>
          <w:rFonts w:ascii="Arial" w:hAnsi="Arial" w:cs="Arial"/>
          <w:sz w:val="22"/>
          <w:szCs w:val="22"/>
          <w:lang w:val="es-CO"/>
        </w:rPr>
        <w:t>B</w:t>
      </w:r>
      <w:r w:rsidR="00D0325D" w:rsidRPr="00991783">
        <w:rPr>
          <w:rFonts w:ascii="Arial" w:hAnsi="Arial" w:cs="Arial"/>
          <w:sz w:val="22"/>
          <w:szCs w:val="22"/>
          <w:lang w:val="es-CO"/>
        </w:rPr>
        <w:t xml:space="preserve">ogotá, D.C. ____ de ______ </w:t>
      </w:r>
      <w:proofErr w:type="spellStart"/>
      <w:r w:rsidR="00D0325D" w:rsidRPr="00991783">
        <w:rPr>
          <w:rFonts w:ascii="Arial" w:hAnsi="Arial" w:cs="Arial"/>
          <w:sz w:val="22"/>
          <w:szCs w:val="22"/>
          <w:lang w:val="es-CO"/>
        </w:rPr>
        <w:t>de</w:t>
      </w:r>
      <w:proofErr w:type="spellEnd"/>
      <w:r w:rsidR="00D0325D" w:rsidRPr="00991783">
        <w:rPr>
          <w:rFonts w:ascii="Arial" w:hAnsi="Arial" w:cs="Arial"/>
          <w:sz w:val="22"/>
          <w:szCs w:val="22"/>
          <w:lang w:val="es-CO"/>
        </w:rPr>
        <w:t xml:space="preserve"> 20__</w:t>
      </w:r>
      <w:r w:rsidR="00220240" w:rsidRPr="00991783">
        <w:rPr>
          <w:rFonts w:ascii="Arial" w:hAnsi="Arial" w:cs="Arial"/>
          <w:sz w:val="22"/>
          <w:szCs w:val="22"/>
          <w:lang w:val="es-CO"/>
        </w:rPr>
        <w:t>___</w:t>
      </w:r>
    </w:p>
    <w:p w:rsidR="00903BF9" w:rsidRPr="00991783" w:rsidRDefault="00903BF9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FB7CA0" w:rsidRPr="00991783" w:rsidRDefault="00FB7CA0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991783" w:rsidRDefault="00991783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4C087C" w:rsidRPr="00991783" w:rsidRDefault="004C087C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991783">
        <w:rPr>
          <w:rFonts w:ascii="Arial" w:hAnsi="Arial" w:cs="Arial"/>
          <w:b/>
          <w:bCs/>
          <w:sz w:val="22"/>
          <w:szCs w:val="22"/>
          <w:lang w:val="es-CO"/>
        </w:rPr>
        <w:t>DILIGENCIA DE AUDIENCIA ESPECIAL EN EL PROCESO No. ______ ADELANTADO CONTRA EL SERVIDOR ______________________________________.</w:t>
      </w:r>
    </w:p>
    <w:p w:rsidR="004C087C" w:rsidRDefault="004C087C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991783" w:rsidRPr="00991783" w:rsidRDefault="00991783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4C087C" w:rsidRPr="00991783" w:rsidRDefault="004C087C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991783">
        <w:rPr>
          <w:rFonts w:ascii="Arial" w:hAnsi="Arial" w:cs="Arial"/>
          <w:sz w:val="22"/>
          <w:szCs w:val="22"/>
          <w:lang w:val="es-CO"/>
        </w:rPr>
        <w:t xml:space="preserve">En Bogotá D.C. a los ____ de ____ </w:t>
      </w:r>
      <w:proofErr w:type="spellStart"/>
      <w:r w:rsidRPr="00991783">
        <w:rPr>
          <w:rFonts w:ascii="Arial" w:hAnsi="Arial" w:cs="Arial"/>
          <w:sz w:val="22"/>
          <w:szCs w:val="22"/>
          <w:lang w:val="es-CO"/>
        </w:rPr>
        <w:t>de</w:t>
      </w:r>
      <w:proofErr w:type="spellEnd"/>
      <w:r w:rsidRPr="00991783">
        <w:rPr>
          <w:rFonts w:ascii="Arial" w:hAnsi="Arial" w:cs="Arial"/>
          <w:sz w:val="22"/>
          <w:szCs w:val="22"/>
          <w:lang w:val="es-CO"/>
        </w:rPr>
        <w:t xml:space="preserve"> 20____ siendo las ______, se hizo presente en este despacho (nombre de los sujetos procesales presentes - disciplinado y/o abogado defensor), para dar inicio a la presente audiencia, ordenada en el auto de (fecha del auto de citación a audiencia). (En el evento de presentarse el abogado defensor, se le recibe el poder respectivo, se anexa a la diligencia y se le reconoce personería para actuar). En tal virtud, el suscrito funcionario declaró abierta la audiencia y designó a (nombre y cargo del secretario ad hoc), como Secretario Ad. Hoc., de la misma, quien prometió cumplir a cabalidad con los deberes del cargo asignado, quedando de esta forma legal y debidamente posesionado. A continuación y de conformidad con lo establecido en el inciso primero del artículo 188 de la Ley 734 de 2002, se procede a dar lectura a las siguientes piezas procesales (decisión de citación a audiencia; solicitud de pruebas que hubiere presentado cualquiera de los 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sujetos procesales, con anterioridad o al momento mismo del inicio de la audiencia o a la versión escrita 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que hubiere presentado el disciplinado). Concluido lo anterior el despacho procede a escuchar en versión libre al disciplinado, haciéndole conocer el derecho que tiene a ser asistido (a) por un abogado e informándole que se encuentra libre de todo apremio y juramento. Se le ponen de presente el contenido del artículo 33 de la Constitución Política, excepciones al deber de declarar, y 92 de la Ley 734 de 2002, derechos del investigado, ante lo cual manifiesta que es su voluntad rendir esta versión. Se procede entonces a formular el siguiente interrogatorio al (la) implicado (a), no sin antes dejar constancia que __________________________________, manifestó no considerar necesario la asistencia de un abogado para esta diligencia. PREGUNTADO: Diga cuál es su nombre completo, fecha de nacimiento, estado civil, domicilio, residencia, estudios realizados, profesión, ocupación u oficio, entidad y dependencia donde actualmente labora. CONTESTO: ............ PREGUNTADO: Obra en autos (fl. X del. cuaderno original, la queja </w:t>
      </w:r>
      <w:r w:rsidRPr="00991783">
        <w:rPr>
          <w:rFonts w:ascii="Arial" w:hAnsi="Arial" w:cs="Arial"/>
          <w:bCs/>
          <w:sz w:val="22"/>
          <w:szCs w:val="22"/>
          <w:lang w:val="es-CO"/>
        </w:rPr>
        <w:t>suscrita por... el informe rendido por...,</w:t>
      </w:r>
      <w:r w:rsidR="00095F0A" w:rsidRPr="00991783">
        <w:rPr>
          <w:rFonts w:ascii="Arial" w:hAnsi="Arial" w:cs="Arial"/>
          <w:bCs/>
          <w:sz w:val="22"/>
          <w:szCs w:val="22"/>
          <w:lang w:val="es-CO"/>
        </w:rPr>
        <w:t xml:space="preserve"> las copias de las piezas pr</w:t>
      </w:r>
      <w:r w:rsidRPr="00991783">
        <w:rPr>
          <w:rFonts w:ascii="Arial" w:hAnsi="Arial" w:cs="Arial"/>
          <w:bCs/>
          <w:sz w:val="22"/>
          <w:szCs w:val="22"/>
          <w:lang w:val="es-CO"/>
        </w:rPr>
        <w:t>ocesales pertinentes, o el hecho de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público conocimiento), cuyo contenido se le pone de presente. Una vez </w:t>
      </w:r>
      <w:r w:rsidRPr="00991783">
        <w:rPr>
          <w:rFonts w:ascii="Arial" w:hAnsi="Arial" w:cs="Arial"/>
          <w:sz w:val="22"/>
          <w:szCs w:val="22"/>
          <w:lang w:val="es-CO"/>
        </w:rPr>
        <w:lastRenderedPageBreak/>
        <w:t xml:space="preserve">enterado (a) del mismo, </w:t>
      </w:r>
      <w:r w:rsidR="00095F0A" w:rsidRPr="00991783">
        <w:rPr>
          <w:rFonts w:ascii="Arial" w:hAnsi="Arial" w:cs="Arial"/>
          <w:sz w:val="22"/>
          <w:szCs w:val="22"/>
          <w:lang w:val="es-CO"/>
        </w:rPr>
        <w:t>¿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qué tiene usted que decir al respecto? CONTESTO: .......... PREGUNTADO: (poner a disposición de quien </w:t>
      </w:r>
      <w:r w:rsidRPr="00991783">
        <w:rPr>
          <w:rFonts w:ascii="Arial" w:hAnsi="Arial" w:cs="Arial"/>
          <w:bCs/>
          <w:sz w:val="22"/>
          <w:szCs w:val="22"/>
          <w:lang w:val="es-CO"/>
        </w:rPr>
        <w:t>rinde la versión el expediente y realizar todas las preguntas conducentes y pertinentes para el esclare</w:t>
      </w:r>
      <w:r w:rsidRPr="00991783">
        <w:rPr>
          <w:rFonts w:ascii="Arial" w:hAnsi="Arial" w:cs="Arial"/>
          <w:sz w:val="22"/>
          <w:szCs w:val="22"/>
          <w:lang w:val="es-CO"/>
        </w:rPr>
        <w:t>cimiento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de 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los hechos). CONTESTO: ....... </w:t>
      </w:r>
      <w:r w:rsidRPr="00991783">
        <w:rPr>
          <w:rFonts w:ascii="Arial" w:hAnsi="Arial" w:cs="Arial"/>
          <w:sz w:val="22"/>
          <w:szCs w:val="22"/>
          <w:lang w:val="es-CO"/>
        </w:rPr>
        <w:t>PREGUNTADO: Sírvase informar al despacho si desea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agregar algo más a la presente diligencia. CONTESTO: </w:t>
      </w:r>
      <w:r w:rsidR="00095F0A" w:rsidRPr="00991783">
        <w:rPr>
          <w:rFonts w:ascii="Arial" w:hAnsi="Arial" w:cs="Arial"/>
          <w:sz w:val="22"/>
          <w:szCs w:val="22"/>
          <w:lang w:val="es-CO"/>
        </w:rPr>
        <w:t>(.....)</w:t>
      </w:r>
      <w:r w:rsidRPr="00991783">
        <w:rPr>
          <w:rFonts w:ascii="Arial" w:hAnsi="Arial" w:cs="Arial"/>
          <w:sz w:val="22"/>
          <w:szCs w:val="22"/>
          <w:lang w:val="es-CO"/>
        </w:rPr>
        <w:t>.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No más. Concluida la versión, el despa</w:t>
      </w:r>
      <w:r w:rsidRPr="00991783">
        <w:rPr>
          <w:rFonts w:ascii="Arial" w:hAnsi="Arial" w:cs="Arial"/>
          <w:bCs/>
          <w:sz w:val="22"/>
          <w:szCs w:val="22"/>
          <w:lang w:val="es-CO"/>
        </w:rPr>
        <w:t>cho</w:t>
      </w:r>
      <w:r w:rsidR="00095F0A"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bCs/>
          <w:sz w:val="22"/>
          <w:szCs w:val="22"/>
          <w:lang w:val="es-CO"/>
        </w:rPr>
        <w:t>pone en conocimiento de los sujetos procesales el contenido del artículo 177 del C.D.U., haciéndole</w:t>
      </w:r>
      <w:r w:rsidR="00095F0A"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bCs/>
          <w:sz w:val="22"/>
          <w:szCs w:val="22"/>
          <w:lang w:val="es-CO"/>
        </w:rPr>
        <w:t>saber que tienen derecho a aportar y solicitar pruebas, las cuales serán Practicadas en des</w:t>
      </w:r>
      <w:r w:rsidR="00095F0A" w:rsidRPr="00991783">
        <w:rPr>
          <w:rFonts w:ascii="Arial" w:hAnsi="Arial" w:cs="Arial"/>
          <w:bCs/>
          <w:sz w:val="22"/>
          <w:szCs w:val="22"/>
          <w:lang w:val="es-CO"/>
        </w:rPr>
        <w:t xml:space="preserve">arrollo </w:t>
      </w:r>
      <w:r w:rsidRPr="00991783">
        <w:rPr>
          <w:rFonts w:ascii="Arial" w:hAnsi="Arial" w:cs="Arial"/>
          <w:bCs/>
          <w:sz w:val="22"/>
          <w:szCs w:val="22"/>
          <w:lang w:val="es-CO"/>
        </w:rPr>
        <w:t>de</w:t>
      </w:r>
      <w:r w:rsidR="00095F0A"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esta diligencia, dentro de un términ</w:t>
      </w:r>
      <w:r w:rsidR="00095F0A" w:rsidRPr="00991783">
        <w:rPr>
          <w:rFonts w:ascii="Arial" w:hAnsi="Arial" w:cs="Arial"/>
          <w:sz w:val="22"/>
          <w:szCs w:val="22"/>
          <w:lang w:val="es-CO"/>
        </w:rPr>
        <w:t>o improrrogable de tres (3) día</w:t>
      </w:r>
      <w:r w:rsidRPr="00991783">
        <w:rPr>
          <w:rFonts w:ascii="Arial" w:hAnsi="Arial" w:cs="Arial"/>
          <w:sz w:val="22"/>
          <w:szCs w:val="22"/>
          <w:lang w:val="es-CO"/>
        </w:rPr>
        <w:t>s, si fueren conducentes y pertinentes.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bCs/>
          <w:sz w:val="22"/>
          <w:szCs w:val="22"/>
          <w:lang w:val="es-CO"/>
        </w:rPr>
        <w:t>Si no fuere posible hacerlo en forma inmediata se suspenderá la audiencia por un término máximo de</w:t>
      </w:r>
      <w:r w:rsidR="00095F0A"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cinco (5) días y se señalará fecha para la práctica de las pruebas pendientes. Al respecto manifestaron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(el disciplinado y/o su abogado defensor)</w:t>
      </w:r>
      <w:r w:rsidR="00095F0A" w:rsidRPr="00991783">
        <w:rPr>
          <w:rFonts w:ascii="Arial" w:hAnsi="Arial" w:cs="Arial"/>
          <w:sz w:val="22"/>
          <w:szCs w:val="22"/>
          <w:lang w:val="es-CO"/>
        </w:rPr>
        <w:t>: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095F0A" w:rsidRPr="00991783">
        <w:rPr>
          <w:rFonts w:ascii="Arial" w:hAnsi="Arial" w:cs="Arial"/>
          <w:sz w:val="22"/>
          <w:szCs w:val="22"/>
          <w:lang w:val="es-CO"/>
        </w:rPr>
        <w:t>...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. . . . . . . . .AUTO. 1.- El despacho considera conducentes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y pertinentes las pruebas testimoniales solicitadas por la disciplinada, razón por la cual procede a de</w:t>
      </w:r>
      <w:r w:rsidRPr="00991783">
        <w:rPr>
          <w:rFonts w:ascii="Arial" w:hAnsi="Arial" w:cs="Arial"/>
          <w:bCs/>
          <w:sz w:val="22"/>
          <w:szCs w:val="22"/>
          <w:lang w:val="es-CO"/>
        </w:rPr>
        <w:t>cretar</w:t>
      </w:r>
      <w:r w:rsidR="00095F0A"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bCs/>
          <w:sz w:val="22"/>
          <w:szCs w:val="22"/>
          <w:lang w:val="es-CO"/>
        </w:rPr>
        <w:t>su práctica de la siguiente manera: (1.- Escuchar en declaración juramentada a (nombre de los</w:t>
      </w:r>
      <w:r w:rsidR="00095F0A"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posibles testigos), de conformidad con (la cita o la petición realizada por el disciplinado). Dicha declaración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se recibirán a partir de las (hora) del próximo (fecha de la diligencia - 5 días siguientes). 2.- Con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relación a las pruebas documentales pretendidas por el disciplinado, referentes a (se menciona la prueba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documental requerida, si es del caso), éstas se solicitarán y allegarán en forma inmediata. 3.- Finalmente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el despacho considera que la prueba (se hace la descripción) requerida por (el investigado o su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defensor) es (ilógica, inconducente, impertinente y ajena por completo al objeto probatorio de esta investigación),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razón por la cual denegará o rechazará su práctica. 4.- Se </w:t>
      </w:r>
      <w:r w:rsidR="00095F0A" w:rsidRPr="00991783">
        <w:rPr>
          <w:rFonts w:ascii="Arial" w:hAnsi="Arial" w:cs="Arial"/>
          <w:sz w:val="22"/>
          <w:szCs w:val="22"/>
          <w:lang w:val="es-CO"/>
        </w:rPr>
        <w:t>reiteran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las pruebas aludidas de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bCs/>
          <w:sz w:val="22"/>
          <w:szCs w:val="22"/>
          <w:lang w:val="es-CO"/>
        </w:rPr>
        <w:t>manera oficiosa por este despacho, en e</w:t>
      </w:r>
      <w:r w:rsidR="00095F0A" w:rsidRPr="00991783">
        <w:rPr>
          <w:rFonts w:ascii="Arial" w:hAnsi="Arial" w:cs="Arial"/>
          <w:bCs/>
          <w:sz w:val="22"/>
          <w:szCs w:val="22"/>
          <w:lang w:val="es-CO"/>
        </w:rPr>
        <w:t xml:space="preserve">l auto de citación a audiencia). 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Esta decisión se pone en cono</w:t>
      </w:r>
      <w:r w:rsidRPr="00991783">
        <w:rPr>
          <w:rFonts w:ascii="Arial" w:hAnsi="Arial" w:cs="Arial"/>
          <w:sz w:val="22"/>
          <w:szCs w:val="22"/>
          <w:lang w:val="es-CO"/>
        </w:rPr>
        <w:t>cimiento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de los sujetos procesales, quedando notificada en estrados. Se le informa al (disciplinado o su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apoderado) sobre el derecho que tiene de impugnar la misma, mediante recurso de reposición y apelación,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en virtud de lo establecido en los artículos 181 y 189 de la ley 734 de 2002. Al respecto manifestaron: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(se refiere si los sujetos procesales impugnan o no la decisión. En caso afirmativo, si se interpuso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recurso de reposición se profiere AUTO resolviendo el recurso. Esa decisión queda notificada en estrados.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Si es del caso se concede la apelación interpuesta en el efecto suspensiv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o, cuando no se hayan decretado </w:t>
      </w:r>
      <w:r w:rsidRPr="00991783">
        <w:rPr>
          <w:rFonts w:ascii="Arial" w:hAnsi="Arial" w:cs="Arial"/>
          <w:sz w:val="22"/>
          <w:szCs w:val="22"/>
          <w:lang w:val="es-CO"/>
        </w:rPr>
        <w:t>pruebas de oficio y la negativa de pruebas sea total; si se decretaron pruebas de oficio, se concede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la apelación en el efecto diferido, y, finalmente, se concederá en el efecto devolutivo cuando la negativa</w:t>
      </w:r>
      <w:r w:rsidR="00095F0A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sea parcial - Art. 115 de la Ley 734 de 2002.)</w:t>
      </w:r>
    </w:p>
    <w:p w:rsidR="00095F0A" w:rsidRPr="00991783" w:rsidRDefault="00095F0A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991783" w:rsidRDefault="00991783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4C087C" w:rsidRPr="00991783" w:rsidRDefault="004C087C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991783">
        <w:rPr>
          <w:rFonts w:ascii="Arial" w:hAnsi="Arial" w:cs="Arial"/>
          <w:b/>
          <w:bCs/>
          <w:sz w:val="22"/>
          <w:szCs w:val="22"/>
          <w:lang w:val="es-CO"/>
        </w:rPr>
        <w:lastRenderedPageBreak/>
        <w:t>CONTINUACION DE LA AUDIENCIA</w:t>
      </w:r>
    </w:p>
    <w:p w:rsidR="00095F0A" w:rsidRPr="00991783" w:rsidRDefault="00095F0A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4C087C" w:rsidRPr="00991783" w:rsidRDefault="00095F0A" w:rsidP="00991783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991783">
        <w:rPr>
          <w:rFonts w:ascii="Arial" w:hAnsi="Arial" w:cs="Arial"/>
          <w:sz w:val="22"/>
          <w:szCs w:val="22"/>
          <w:lang w:val="es-CO"/>
        </w:rPr>
        <w:t>Siendo las _________ de hoy ____ de 20____</w:t>
      </w:r>
      <w:r w:rsidR="004C087C" w:rsidRPr="00991783">
        <w:rPr>
          <w:rFonts w:ascii="Arial" w:hAnsi="Arial" w:cs="Arial"/>
          <w:sz w:val="22"/>
          <w:szCs w:val="22"/>
          <w:lang w:val="es-CO"/>
        </w:rPr>
        <w:t>, se da continuación a la audiencia especial, encontrándose presentes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los (se relacionan sujetos procesales y testigos). A continuación se procede a practicar las pruebas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decretadas en sesión anterior, para lo cual se da inicio al testimonio de (nombre del declarante). En tal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virtud el suscrito funcionario (titular o comisionado) procedió a explicar al compareciente el deber que le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asiste de rendir testimonio, según lo previsto en el artículo 266 del Código de Procedimiento Penal (Ley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600 de 2000); enterándolo igualmente sobre las excepciones constitucionales y legales que lo eximen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de cumplir dicho deber, referidas en el </w:t>
      </w:r>
      <w:r w:rsidRPr="00991783">
        <w:rPr>
          <w:rFonts w:ascii="Arial" w:hAnsi="Arial" w:cs="Arial"/>
          <w:sz w:val="22"/>
          <w:szCs w:val="22"/>
          <w:lang w:val="es-CO"/>
        </w:rPr>
        <w:t>artículo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33 de la Constitución Política y en los artículos 267 y 268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del C de P. P. A continuación se hace la amonestación consagrada en el artículo 269 de la misma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normatividad, a través de la cual se entera al citado sobre la importancia moral y legal del acto, dándole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a conocer además las sanci</w:t>
      </w:r>
      <w:r w:rsidR="004C087C" w:rsidRPr="00991783">
        <w:rPr>
          <w:rFonts w:ascii="Arial" w:hAnsi="Arial" w:cs="Arial"/>
          <w:sz w:val="22"/>
          <w:szCs w:val="22"/>
          <w:lang w:val="es-CO"/>
        </w:rPr>
        <w:t>ones establecidas contra los que declaren falsamente, contempladas en el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artículo 442 del Código Penal. Cumplido lo anterior se toma el juramento de rigor, por el cual el compareciente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manifestó que no le asiste ninguna clase de impedimento y que es su voluntad rendir esta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declaración. El despacho procede a formular al declarante el interrogatorio siguiente: PREGUNTADO.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Sírvase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decir sus nombres y apellidos completos, documento de identificación, edad, lugar y fecha de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nacimiento, residencia, estado civil, profesión y estudios que haya c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ursado. CONTESTO: ..........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PREGUNTADO.- Sírvase decir si conoce a los (nombre de los implicados), en caso cierto desde hace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cuánto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y qué relación tiene con ellos. CONTESTO: ......... PREGUNTADO.- 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(El despacho hace las preguntas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objeto de la prueba). CONTESTO: ......... En este estado de las diligencias el despacho no hace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más preguntas y le concede el uso de la palabra al (nombre del sujeto procesal que se haya hecho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presente), quien manifiesta su intención de interrogar. PREGUNTADO: ........ CONTESTO:.......... PREGUNTADO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POR EL DESPACHO: Sírvase informar al despacho si desea agregar, corregir o enmendar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algo a la presente diligencia. CONTESTO: </w:t>
      </w:r>
      <w:r w:rsidRPr="00991783">
        <w:rPr>
          <w:rFonts w:ascii="Arial" w:hAnsi="Arial" w:cs="Arial"/>
          <w:sz w:val="22"/>
          <w:szCs w:val="22"/>
          <w:lang w:val="es-CO"/>
        </w:rPr>
        <w:t>(.....)</w:t>
      </w:r>
      <w:r w:rsidR="004C087C" w:rsidRPr="00991783">
        <w:rPr>
          <w:rFonts w:ascii="Arial" w:hAnsi="Arial" w:cs="Arial"/>
          <w:sz w:val="22"/>
          <w:szCs w:val="22"/>
          <w:lang w:val="es-CO"/>
        </w:rPr>
        <w:t>.No más. A continuación se deja constancia sobre la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recepción de las pruebas documentales que fueron decretadas y solicitadas en la sesión anterior. De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conformidad con las previsiones legales consagradas en el artículo 188, inciso 4, en armonía con el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Pr="00991783">
        <w:rPr>
          <w:rFonts w:ascii="Arial" w:hAnsi="Arial" w:cs="Arial"/>
          <w:sz w:val="22"/>
          <w:szCs w:val="22"/>
          <w:lang w:val="es-CO"/>
        </w:rPr>
        <w:t>artículo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178 de la Ley 734 de 2002, encontrándose practicadas todas las pruebas decretadas dentro de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la p</w:t>
      </w:r>
      <w:r w:rsidRPr="00991783">
        <w:rPr>
          <w:rFonts w:ascii="Arial" w:hAnsi="Arial" w:cs="Arial"/>
          <w:bCs/>
          <w:sz w:val="22"/>
          <w:szCs w:val="22"/>
          <w:lang w:val="es-CO"/>
        </w:rPr>
        <w:t>resente audiencia, se concede el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 xml:space="preserve"> uso de la palabra, por una sola vez, al investigado y su defensor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para que presenten alegatos finales o de conclusión. Al respecto expresó el implicado: (se transcriben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los alegatos finales del disciplinado, presentados verbalmente o por escrito). Seguidamente manifestó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el defensor: (se transcriben los alegatos finales del </w:t>
      </w:r>
      <w:r w:rsidR="004C087C" w:rsidRPr="00991783">
        <w:rPr>
          <w:rFonts w:ascii="Arial" w:hAnsi="Arial" w:cs="Arial"/>
          <w:sz w:val="22"/>
          <w:szCs w:val="22"/>
          <w:lang w:val="es-CO"/>
        </w:rPr>
        <w:lastRenderedPageBreak/>
        <w:t>defensor, presentados verbalmente o por escrito).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Concluidas las intervenciones el despacho procede verbal y motivadamente a emitir el fallo que en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derecho corresponda, de la siguiente manera: (El fallo puede preferirse en forma inmediata; de lo contrario,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la diligencia se podrá suspender para proferir la decisión dentro de los dos días siguientes) (Se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anexa el modelo de tallo: "IDENTIDAD DEL DISCIPLINADO. Se decide en el presente proveído la responsabilidad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que le asiste al servidor (Se debe indicar los nombres completos, apellidos, cédula de los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presuntos responsables). RESUMEN DE LOS HECHOS. Los hechos que originaron esta actuación se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resumieron así en anterior oportunidad: "</w:t>
      </w:r>
      <w:r w:rsidRPr="00991783">
        <w:rPr>
          <w:rFonts w:ascii="Arial" w:hAnsi="Arial" w:cs="Arial"/>
          <w:sz w:val="22"/>
          <w:szCs w:val="22"/>
          <w:lang w:val="es-CO"/>
        </w:rPr>
        <w:t>(....) ANÁ</w:t>
      </w:r>
      <w:r w:rsidR="004C087C" w:rsidRPr="00991783">
        <w:rPr>
          <w:rFonts w:ascii="Arial" w:hAnsi="Arial" w:cs="Arial"/>
          <w:sz w:val="22"/>
          <w:szCs w:val="22"/>
          <w:lang w:val="es-CO"/>
        </w:rPr>
        <w:t>LISIS DE LAS PRUEBAS EN QUE SE BASA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(se hace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un análisis y va</w:t>
      </w:r>
      <w:r w:rsidRPr="00991783">
        <w:rPr>
          <w:rFonts w:ascii="Arial" w:hAnsi="Arial" w:cs="Arial"/>
          <w:bCs/>
          <w:sz w:val="22"/>
          <w:szCs w:val="22"/>
          <w:lang w:val="es-CO"/>
        </w:rPr>
        <w:t>loración de las pruebas, no bast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a con la simple enunciación de las pruebas pues resulta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indispensable hacer una verdadera evaluación de las mismas de conformidad con el artículo 141 del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CDU) ANALISIS Y </w:t>
      </w:r>
      <w:r w:rsidRPr="00991783">
        <w:rPr>
          <w:rFonts w:ascii="Arial" w:eastAsia="HiddenHorzOCR" w:hAnsi="Arial" w:cs="Arial"/>
          <w:sz w:val="22"/>
          <w:szCs w:val="22"/>
          <w:lang w:val="es-CO"/>
        </w:rPr>
        <w:t>VALRACIÓN</w:t>
      </w:r>
      <w:r w:rsidR="004C087C" w:rsidRPr="00991783">
        <w:rPr>
          <w:rFonts w:ascii="Arial" w:eastAsia="HiddenHorzOCR" w:hAnsi="Arial" w:cs="Arial"/>
          <w:sz w:val="22"/>
          <w:szCs w:val="22"/>
          <w:lang w:val="es-CO"/>
        </w:rPr>
        <w:t xml:space="preserve">ACION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JURIDICA DE LOS CARGOS, DESCARGOS Y ALEGACIONES</w:t>
      </w:r>
      <w:r w:rsidRPr="00991783">
        <w:rPr>
          <w:rFonts w:ascii="Arial" w:hAnsi="Arial" w:cs="Arial"/>
          <w:sz w:val="22"/>
          <w:szCs w:val="22"/>
          <w:lang w:val="es-CO"/>
        </w:rPr>
        <w:t>.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Las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re</w:t>
      </w:r>
      <w:r w:rsidRPr="00991783">
        <w:rPr>
          <w:rFonts w:ascii="Arial" w:hAnsi="Arial" w:cs="Arial"/>
          <w:bCs/>
          <w:sz w:val="22"/>
          <w:szCs w:val="22"/>
          <w:lang w:val="es-CO"/>
        </w:rPr>
        <w:t>l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aciones especiales de sujeción implican que el principio general de responsabilidad para todos los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servidores públicos emana del artículo 6 de la Constitución Política, cuando afirma que además de la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responsabilidad existente para cualquier ciudadano, los servidores públicos somos responsables por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las mismas causas y por extralimitación de nuestras funciones. La regla general de tipicidad en materia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disciplinaria está descrita en el </w:t>
      </w:r>
      <w:r w:rsidRPr="00991783">
        <w:rPr>
          <w:rFonts w:ascii="Arial" w:hAnsi="Arial" w:cs="Arial"/>
          <w:sz w:val="22"/>
          <w:szCs w:val="22"/>
          <w:lang w:val="es-CO"/>
        </w:rPr>
        <w:t>artículo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23 de la ley 734 de 2002 que afirma; "Constituye falta disciplina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ria,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.y por lo tanto d</w:t>
      </w:r>
      <w:r w:rsidRPr="00991783">
        <w:rPr>
          <w:rFonts w:ascii="Arial" w:hAnsi="Arial" w:cs="Arial"/>
          <w:bCs/>
          <w:sz w:val="22"/>
          <w:szCs w:val="22"/>
          <w:lang w:val="es-CO"/>
        </w:rPr>
        <w:t>a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n lugar a la acción e imposición de la sanción correspondiente, la incursión en cualquiera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de las conductas o comportamientos previstos en este código que conlleve incumplimiento de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deberes, extralimitación en el ejercicio de derechos y funciones, prohibiciones y violación del régimen de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inhabilidades, incompatibilidades, impedimentos y conflicto de intereses, sin estar amparado por cualquiera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de las causales de exclusión de respons</w:t>
      </w:r>
      <w:r w:rsidRPr="00991783">
        <w:rPr>
          <w:rFonts w:ascii="Arial" w:hAnsi="Arial" w:cs="Arial"/>
          <w:bCs/>
          <w:sz w:val="22"/>
          <w:szCs w:val="22"/>
          <w:lang w:val="es-CO"/>
        </w:rPr>
        <w:t>a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 xml:space="preserve">bilidad contempladas en el </w:t>
      </w:r>
      <w:r w:rsidRPr="00991783">
        <w:rPr>
          <w:rFonts w:ascii="Arial" w:hAnsi="Arial" w:cs="Arial"/>
          <w:bCs/>
          <w:sz w:val="22"/>
          <w:szCs w:val="22"/>
          <w:lang w:val="es-CO"/>
        </w:rPr>
        <w:t>artículo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 xml:space="preserve"> 28 del presente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ordenamiento" (Aquí se realiza la valoración jurídica del cargo, norma en que se soporta, los descargos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y alegaciones. Es en este acá pite donde deben exponerse los argumentos jurídicos que mantienen o no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la acusación.) DETERMINACION DE LA GRAVEDAD DE LA FALTA (Si se trata de falta grave o leve se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deben</w:t>
      </w:r>
      <w:r w:rsidR="004C087C" w:rsidRPr="00991783">
        <w:rPr>
          <w:rFonts w:ascii="Arial" w:hAnsi="Arial" w:cs="Arial"/>
          <w:sz w:val="22"/>
          <w:szCs w:val="22"/>
          <w:lang w:val="es-CO"/>
        </w:rPr>
        <w:t>,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matizar los criterios del </w:t>
      </w:r>
      <w:r w:rsidRPr="00991783">
        <w:rPr>
          <w:rFonts w:ascii="Arial" w:hAnsi="Arial" w:cs="Arial"/>
          <w:sz w:val="22"/>
          <w:szCs w:val="22"/>
          <w:lang w:val="es-CO"/>
        </w:rPr>
        <w:t>artículo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43 de la ley 734, teniendo como base el análisis realizado en el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pliego de cargos) De conformidad con los artículos 43 de la ley 734 de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2002 se analizan los criterios 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para determinación de la gravedad del cargo imputado </w:t>
      </w:r>
      <w:r w:rsidRPr="00991783">
        <w:rPr>
          <w:rFonts w:ascii="Arial" w:hAnsi="Arial" w:cs="Arial"/>
          <w:sz w:val="22"/>
          <w:szCs w:val="22"/>
          <w:lang w:val="es-CO"/>
        </w:rPr>
        <w:t>así</w:t>
      </w:r>
      <w:r w:rsidR="004C087C" w:rsidRPr="00991783">
        <w:rPr>
          <w:rFonts w:ascii="Arial" w:hAnsi="Arial" w:cs="Arial"/>
          <w:sz w:val="22"/>
          <w:szCs w:val="22"/>
          <w:lang w:val="es-CO"/>
        </w:rPr>
        <w:t>: Grado de culpabilidad. Naturaleza esencial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del servicio; Grado de perturbación de</w:t>
      </w:r>
      <w:proofErr w:type="gramStart"/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!</w:t>
      </w:r>
      <w:proofErr w:type="gramEnd"/>
      <w:r w:rsidR="004C087C" w:rsidRPr="00991783">
        <w:rPr>
          <w:rFonts w:ascii="Arial" w:hAnsi="Arial" w:cs="Arial"/>
          <w:bCs/>
          <w:sz w:val="22"/>
          <w:szCs w:val="22"/>
          <w:lang w:val="es-CO"/>
        </w:rPr>
        <w:t xml:space="preserve"> servicio. La jerarquía del funcionario. La trascendencia social de</w:t>
      </w:r>
      <w:r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la falta; Las modalidades y circunstancias en que se cometió la falta; Los motivos determinantes del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comportamiento; La falta fue cometida por (una o varias personas); (Concluir cómo se califica la falta).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ANALISIS DE CULPABILIDAD. El principio general de imputación subjetiva en materia disciplinaria </w:t>
      </w:r>
      <w:r w:rsidR="004C087C" w:rsidRPr="00991783">
        <w:rPr>
          <w:rFonts w:ascii="Arial" w:hAnsi="Arial" w:cs="Arial"/>
          <w:sz w:val="22"/>
          <w:szCs w:val="22"/>
          <w:lang w:val="es-CO"/>
        </w:rPr>
        <w:lastRenderedPageBreak/>
        <w:t>señala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que "En materia disciplinaria queda proscrita toda forma de responsabilidad objetiva. Las faltas sólo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son sancionables a </w:t>
      </w:r>
      <w:r w:rsidRPr="00991783">
        <w:rPr>
          <w:rFonts w:ascii="Arial" w:hAnsi="Arial" w:cs="Arial"/>
          <w:sz w:val="22"/>
          <w:szCs w:val="22"/>
          <w:lang w:val="es-CO"/>
        </w:rPr>
        <w:t>título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de dolo o culpa" (</w:t>
      </w:r>
      <w:r w:rsidRPr="00991783">
        <w:rPr>
          <w:rFonts w:ascii="Arial" w:hAnsi="Arial" w:cs="Arial"/>
          <w:sz w:val="22"/>
          <w:szCs w:val="22"/>
          <w:lang w:val="es-CO"/>
        </w:rPr>
        <w:t>Artículo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13, ley 734). (Determinar si la conducta se realizó a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titulo dolo o culpa y por qué, cuáles son las pruebas que soportan dicha conclusión, esta labor se debe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cumplir con cada una de las conductas objeto de acusación).RAZONES DE LA SANCION. Según lo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dispone el </w:t>
      </w:r>
      <w:r w:rsidRPr="00991783">
        <w:rPr>
          <w:rFonts w:ascii="Arial" w:hAnsi="Arial" w:cs="Arial"/>
          <w:sz w:val="22"/>
          <w:szCs w:val="22"/>
          <w:lang w:val="es-CO"/>
        </w:rPr>
        <w:t>artículo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16 de la ley 734 de 2002, la sanción disciplinaria tiene función preventiva y correctiva,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para garantizar la efectividad de los principios y fines previstos en la constitución, la ley y los tratados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internacionales, que se deben observar en el ejercicio de la función pública. Por ello la sanción cumplirá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en el presente caso una función (señalar la argumentación que sea del caso). GRADUACION DE LA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SANCIÓN. Según el </w:t>
      </w:r>
      <w:r w:rsidRPr="00991783">
        <w:rPr>
          <w:rFonts w:ascii="Arial" w:hAnsi="Arial" w:cs="Arial"/>
          <w:sz w:val="22"/>
          <w:szCs w:val="22"/>
          <w:lang w:val="es-CO"/>
        </w:rPr>
        <w:t>artículo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44 de la ley 734 se </w:t>
      </w:r>
      <w:r w:rsidRPr="00991783">
        <w:rPr>
          <w:rFonts w:ascii="Arial" w:hAnsi="Arial" w:cs="Arial"/>
          <w:sz w:val="22"/>
          <w:szCs w:val="22"/>
          <w:lang w:val="es-CO"/>
        </w:rPr>
        <w:t>encuentra</w:t>
      </w:r>
      <w:r w:rsidR="002E36E4" w:rsidRPr="00991783">
        <w:rPr>
          <w:rFonts w:ascii="Arial" w:hAnsi="Arial" w:cs="Arial"/>
          <w:sz w:val="22"/>
          <w:szCs w:val="22"/>
          <w:lang w:val="es-CO"/>
        </w:rPr>
        <w:t>n previstas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como sanciones disciplinarias (se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2E36E4" w:rsidRPr="00991783">
        <w:rPr>
          <w:rFonts w:ascii="Arial" w:hAnsi="Arial" w:cs="Arial"/>
          <w:sz w:val="22"/>
          <w:szCs w:val="22"/>
          <w:lang w:val="es-CO"/>
        </w:rPr>
        <w:t>debe señalar la sanción que se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aplicable). A su vez, el numeral (indicar el numeral correspondiente) del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artículo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45 define (describir la sanción correspondiente) A su paso el </w:t>
      </w:r>
      <w:r w:rsidRPr="00991783">
        <w:rPr>
          <w:rFonts w:ascii="Arial" w:hAnsi="Arial" w:cs="Arial"/>
          <w:sz w:val="22"/>
          <w:szCs w:val="22"/>
          <w:lang w:val="es-CO"/>
        </w:rPr>
        <w:t>artículo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46 de la misma norma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disciplinaria señala (indicar el </w:t>
      </w:r>
      <w:r w:rsidRPr="00991783">
        <w:rPr>
          <w:rFonts w:ascii="Arial" w:hAnsi="Arial" w:cs="Arial"/>
          <w:sz w:val="22"/>
          <w:szCs w:val="22"/>
          <w:lang w:val="es-CO"/>
        </w:rPr>
        <w:t>límite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de la sanción). De acuerdo con el </w:t>
      </w:r>
      <w:r w:rsidRPr="00991783">
        <w:rPr>
          <w:rFonts w:ascii="Arial" w:hAnsi="Arial" w:cs="Arial"/>
          <w:sz w:val="22"/>
          <w:szCs w:val="22"/>
          <w:lang w:val="es-CO"/>
        </w:rPr>
        <w:t>artículo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47 de la ley 734 la suspensión</w:t>
      </w:r>
      <w:r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e inhabilidad se tazará con fundamento en los siguientes aspectos allí señalados así: (si es aplicable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se debe señalar). Antecedentes disciplinarios; Diligentes y/o eficientes; Atribuye directamente a terceros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su responsabilidad; Hubo confesión; Se ha producido resarcimiento, compensación o reparación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del daño causado. Opera la causal de devolución, restitución o reparación; El daño social es importante;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Hubo afectación a derechos fundamentales a personas en particular; El conocimiento de la ilicitud;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Jerarquía del funcionario; (Debe hacerse claridad si se trata de concurso de faltas para determinar si se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debe acudir al numeral 2 del artículo 47: "2. A quien, con una o varias acciones u omisiones, infrinja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varias disposiciones de la ley disciplinaria o varias veces la misma disposición, se le graduará la san</w:t>
      </w:r>
      <w:r w:rsidR="004C087C" w:rsidRPr="00991783">
        <w:rPr>
          <w:rFonts w:ascii="Arial" w:hAnsi="Arial" w:cs="Arial"/>
          <w:sz w:val="22"/>
          <w:szCs w:val="22"/>
          <w:lang w:val="es-CO"/>
        </w:rPr>
        <w:t>ción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de acuerdo con los siguientes criterios: ... b) Si la sanción más grave es la suspensión e inhabilidad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especial, se incrementará hasta en otro tanto, sin exceder el máximo legal". ) Conforme a lo anterior se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sancionara a (indicar el nombre del implicado) con (indicar la sanción y duración de la misma)</w:t>
      </w:r>
      <w:r w:rsidR="002E36E4" w:rsidRPr="00991783">
        <w:rPr>
          <w:rFonts w:ascii="Arial" w:hAnsi="Arial" w:cs="Arial"/>
          <w:sz w:val="22"/>
          <w:szCs w:val="22"/>
          <w:lang w:val="es-CO"/>
        </w:rPr>
        <w:t>.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En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consecuencia el despacho RESUELVE: PRIMERO. SANCIONAR al servid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or público (indicar el nombre),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identificado con la cédula de ciudadanía No., en su condición de (señalar el cargo), con (se describe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la sanción impuesta), de conformidad con lo señalado en la parte motiva del presente proveído.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SEGUNDO. ABSOLVER al servidor público (indicar el nombre), identificado con la cédula de 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ciudadanía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No., en su condición de (señalar el cargo), del cargo (describir la falta objeto de absolución) de conformidad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con lo señalado en la parte motiva del presente proveído. TERCERO. En firme esta decisión.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proofErr w:type="gramStart"/>
      <w:r w:rsidR="00991783" w:rsidRPr="00991783">
        <w:rPr>
          <w:rFonts w:ascii="Arial" w:hAnsi="Arial" w:cs="Arial"/>
          <w:sz w:val="22"/>
          <w:szCs w:val="22"/>
          <w:lang w:val="es-CO"/>
        </w:rPr>
        <w:t>comuníquese</w:t>
      </w:r>
      <w:proofErr w:type="gramEnd"/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su contenido a la Procuraduría General de la Nación </w:t>
      </w:r>
      <w:r w:rsidR="004C087C" w:rsidRPr="00991783">
        <w:rPr>
          <w:rFonts w:ascii="Arial" w:hAnsi="Arial" w:cs="Arial"/>
          <w:i/>
          <w:iCs/>
          <w:sz w:val="22"/>
          <w:szCs w:val="22"/>
          <w:lang w:val="es-CO"/>
        </w:rPr>
        <w:t xml:space="preserve">y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a la Personería de Bogotá, para los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fines correspondientes. Este fallo se notifica en estrados a los sujetos procesales, a </w:t>
      </w:r>
      <w:r w:rsidR="004C087C" w:rsidRPr="00991783">
        <w:rPr>
          <w:rFonts w:ascii="Arial" w:hAnsi="Arial" w:cs="Arial"/>
          <w:sz w:val="22"/>
          <w:szCs w:val="22"/>
          <w:lang w:val="es-CO"/>
        </w:rPr>
        <w:lastRenderedPageBreak/>
        <w:t>quienes se les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informa, de conformidad con lo previsto en el </w:t>
      </w:r>
      <w:r w:rsidR="002E36E4" w:rsidRPr="00991783">
        <w:rPr>
          <w:rFonts w:ascii="Arial" w:hAnsi="Arial" w:cs="Arial"/>
          <w:sz w:val="22"/>
          <w:szCs w:val="22"/>
          <w:lang w:val="es-CO"/>
        </w:rPr>
        <w:t>artículo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180 de la Ley 734 de 2002, que solo procede el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recurso de apelación, el cual deberá interponerse dentro de la misma audiencia </w:t>
      </w:r>
      <w:r w:rsidR="004C087C" w:rsidRPr="00991783">
        <w:rPr>
          <w:rFonts w:ascii="Arial" w:hAnsi="Arial" w:cs="Arial"/>
          <w:i/>
          <w:iCs/>
          <w:sz w:val="22"/>
          <w:szCs w:val="22"/>
          <w:lang w:val="es-CO"/>
        </w:rPr>
        <w:t xml:space="preserve">y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sustentarse verbalmente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o por escrito dentro de los dos días siguientes. Se concede el uso de la palabra a los sujetos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procesales, quienes manifestaron: (Si se abstienen de impugnar el fallo, el mismo queda en firme </w:t>
      </w:r>
      <w:r w:rsidR="004C087C" w:rsidRPr="00991783">
        <w:rPr>
          <w:rFonts w:ascii="Arial" w:hAnsi="Arial" w:cs="Arial"/>
          <w:i/>
          <w:iCs/>
          <w:sz w:val="22"/>
          <w:szCs w:val="22"/>
          <w:lang w:val="es-CO"/>
        </w:rPr>
        <w:t xml:space="preserve">y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se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finaliza la audiencia. Si se interpone el recurso y se sustenta en forma inmediata, puede preferirse el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AUTO concediendo el recurso y finaliza la audiencia. Si se interpone el recurso, pero no se sustenta, se</w:t>
      </w:r>
      <w:r w:rsidR="002E36E4"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concede el término de dos días para dicha sustentación y finaliza la audiencia. Vencido el término de dos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días se decide si se concede el recurso y, en caso afirmativo, el respectivo superior cuenta con dos días</w:t>
      </w:r>
      <w:r w:rsidR="002E36E4" w:rsidRPr="0099178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para decidir la apelación.) Se termina la audiencia, una vez </w:t>
      </w:r>
      <w:r w:rsidR="002E36E4" w:rsidRPr="00991783">
        <w:rPr>
          <w:rFonts w:ascii="Arial" w:hAnsi="Arial" w:cs="Arial"/>
          <w:sz w:val="22"/>
          <w:szCs w:val="22"/>
          <w:lang w:val="es-CO"/>
        </w:rPr>
        <w:t>leída</w:t>
      </w:r>
      <w:r w:rsidR="004C087C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i/>
          <w:iCs/>
          <w:sz w:val="22"/>
          <w:szCs w:val="22"/>
          <w:lang w:val="es-CO"/>
        </w:rPr>
        <w:t xml:space="preserve">y </w:t>
      </w:r>
      <w:r w:rsidR="004C087C" w:rsidRPr="00991783">
        <w:rPr>
          <w:rFonts w:ascii="Arial" w:hAnsi="Arial" w:cs="Arial"/>
          <w:sz w:val="22"/>
          <w:szCs w:val="22"/>
          <w:lang w:val="es-CO"/>
        </w:rPr>
        <w:t>aprobada el acta por los que en ella</w:t>
      </w:r>
      <w:r w:rsidR="002E36E4" w:rsidRPr="00991783">
        <w:rPr>
          <w:rFonts w:ascii="Arial" w:hAnsi="Arial" w:cs="Arial"/>
          <w:sz w:val="22"/>
          <w:szCs w:val="22"/>
          <w:lang w:val="es-CO"/>
        </w:rPr>
        <w:t xml:space="preserve"> </w:t>
      </w:r>
      <w:r w:rsidR="004C087C" w:rsidRPr="00991783">
        <w:rPr>
          <w:rFonts w:ascii="Arial" w:hAnsi="Arial" w:cs="Arial"/>
          <w:bCs/>
          <w:sz w:val="22"/>
          <w:szCs w:val="22"/>
          <w:lang w:val="es-CO"/>
        </w:rPr>
        <w:t>intervinieron.</w:t>
      </w:r>
    </w:p>
    <w:p w:rsidR="002E36E4" w:rsidRPr="00991783" w:rsidRDefault="002E36E4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2E36E4" w:rsidRPr="00991783" w:rsidRDefault="002E36E4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4C087C" w:rsidRPr="00991783" w:rsidRDefault="004C087C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991783">
        <w:rPr>
          <w:rFonts w:ascii="Arial" w:hAnsi="Arial" w:cs="Arial"/>
          <w:bCs/>
          <w:sz w:val="22"/>
          <w:szCs w:val="22"/>
          <w:lang w:val="es-CO"/>
        </w:rPr>
        <w:t>(NOMBRES Y APELLIDOS COMPLETOS)</w:t>
      </w:r>
    </w:p>
    <w:p w:rsidR="004C087C" w:rsidRPr="00991783" w:rsidRDefault="004C087C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991783">
        <w:rPr>
          <w:rFonts w:ascii="Arial" w:hAnsi="Arial" w:cs="Arial"/>
          <w:bCs/>
          <w:sz w:val="22"/>
          <w:szCs w:val="22"/>
          <w:lang w:val="es-CO"/>
        </w:rPr>
        <w:t>(OPERADOR DISCIPLINARIO)</w:t>
      </w:r>
    </w:p>
    <w:p w:rsidR="002E36E4" w:rsidRPr="00991783" w:rsidRDefault="002E36E4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2E36E4" w:rsidRPr="00991783" w:rsidRDefault="002E36E4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4C087C" w:rsidRPr="00991783" w:rsidRDefault="004C087C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991783">
        <w:rPr>
          <w:rFonts w:ascii="Arial" w:hAnsi="Arial" w:cs="Arial"/>
          <w:bCs/>
          <w:sz w:val="22"/>
          <w:szCs w:val="22"/>
          <w:lang w:val="es-CO"/>
        </w:rPr>
        <w:t>(NOMBRES Y APELLIDOS COMPLETOS)</w:t>
      </w:r>
    </w:p>
    <w:p w:rsidR="004C087C" w:rsidRPr="00991783" w:rsidRDefault="004C087C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991783">
        <w:rPr>
          <w:rFonts w:ascii="Arial" w:hAnsi="Arial" w:cs="Arial"/>
          <w:bCs/>
          <w:sz w:val="22"/>
          <w:szCs w:val="22"/>
          <w:lang w:val="es-CO"/>
        </w:rPr>
        <w:t>(DISCIPLINADO)</w:t>
      </w:r>
    </w:p>
    <w:p w:rsidR="002E36E4" w:rsidRPr="00991783" w:rsidRDefault="002E36E4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2E36E4" w:rsidRPr="00991783" w:rsidRDefault="002E36E4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4C087C" w:rsidRPr="00991783" w:rsidRDefault="004C087C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991783">
        <w:rPr>
          <w:rFonts w:ascii="Arial" w:hAnsi="Arial" w:cs="Arial"/>
          <w:bCs/>
          <w:sz w:val="22"/>
          <w:szCs w:val="22"/>
          <w:lang w:val="es-CO"/>
        </w:rPr>
        <w:t>(NOMBRES Y APELLIDOS COMPLETOS)</w:t>
      </w:r>
    </w:p>
    <w:p w:rsidR="004C087C" w:rsidRPr="00991783" w:rsidRDefault="004C087C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991783">
        <w:rPr>
          <w:rFonts w:ascii="Arial" w:hAnsi="Arial" w:cs="Arial"/>
          <w:bCs/>
          <w:sz w:val="22"/>
          <w:szCs w:val="22"/>
          <w:lang w:val="es-CO"/>
        </w:rPr>
        <w:t>(DEFENSOR)</w:t>
      </w:r>
    </w:p>
    <w:p w:rsidR="002E36E4" w:rsidRPr="00991783" w:rsidRDefault="002E36E4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2E36E4" w:rsidRPr="00991783" w:rsidRDefault="002E36E4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4C087C" w:rsidRPr="00991783" w:rsidRDefault="004C087C" w:rsidP="0099178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991783">
        <w:rPr>
          <w:rFonts w:ascii="Arial" w:hAnsi="Arial" w:cs="Arial"/>
          <w:bCs/>
          <w:sz w:val="22"/>
          <w:szCs w:val="22"/>
          <w:lang w:val="es-CO"/>
        </w:rPr>
        <w:t>(NOMBRES Y APELLIDOS COMPLETOS)</w:t>
      </w:r>
    </w:p>
    <w:p w:rsidR="00802956" w:rsidRPr="00991783" w:rsidRDefault="004C087C" w:rsidP="00991783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991783">
        <w:rPr>
          <w:rFonts w:ascii="Arial" w:hAnsi="Arial" w:cs="Arial"/>
          <w:sz w:val="22"/>
          <w:szCs w:val="22"/>
          <w:lang w:val="es-CO"/>
        </w:rPr>
        <w:t xml:space="preserve">(SECRETARIO </w:t>
      </w:r>
      <w:r w:rsidRPr="00991783">
        <w:rPr>
          <w:rFonts w:ascii="Arial" w:hAnsi="Arial" w:cs="Arial"/>
          <w:bCs/>
          <w:sz w:val="22"/>
          <w:szCs w:val="22"/>
          <w:lang w:val="es-CO"/>
        </w:rPr>
        <w:t>AD HOC)</w:t>
      </w:r>
    </w:p>
    <w:p w:rsidR="002E36E4" w:rsidRPr="00991783" w:rsidRDefault="002E36E4" w:rsidP="00991783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2E36E4" w:rsidRPr="00991783" w:rsidRDefault="002E36E4" w:rsidP="00991783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2E36E4" w:rsidRPr="00991783" w:rsidRDefault="002E36E4" w:rsidP="00991783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2E36E4" w:rsidRPr="00991783" w:rsidRDefault="002E36E4" w:rsidP="00991783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2E36E4" w:rsidRPr="00991783" w:rsidRDefault="002E36E4" w:rsidP="00991783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2E36E4" w:rsidRPr="00991783" w:rsidRDefault="002E36E4" w:rsidP="00991783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18580F" w:rsidRPr="00991783" w:rsidRDefault="0018580F" w:rsidP="00991783">
      <w:pPr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991783">
        <w:rPr>
          <w:rFonts w:ascii="Arial" w:hAnsi="Arial" w:cs="Arial"/>
          <w:sz w:val="22"/>
          <w:szCs w:val="22"/>
          <w:lang w:val="es-CO"/>
        </w:rPr>
        <w:t>__________________________________________</w:t>
      </w:r>
    </w:p>
    <w:p w:rsidR="0018580F" w:rsidRPr="00991783" w:rsidRDefault="0018580F" w:rsidP="00991783">
      <w:pPr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991783">
        <w:rPr>
          <w:rFonts w:ascii="Arial" w:hAnsi="Arial" w:cs="Arial"/>
          <w:sz w:val="22"/>
          <w:szCs w:val="22"/>
          <w:lang w:val="es-CO"/>
        </w:rPr>
        <w:t>Jefe Oficina Asesora de Asuntos Disciplinarios</w:t>
      </w:r>
    </w:p>
    <w:p w:rsidR="00FA3D3E" w:rsidRPr="00991783" w:rsidRDefault="0018580F" w:rsidP="00991783">
      <w:pPr>
        <w:spacing w:line="276" w:lineRule="auto"/>
        <w:jc w:val="center"/>
        <w:rPr>
          <w:rFonts w:ascii="Arial" w:hAnsi="Arial" w:cs="Arial"/>
          <w:sz w:val="22"/>
          <w:szCs w:val="22"/>
          <w:lang w:val="es-CO"/>
        </w:rPr>
      </w:pPr>
      <w:r w:rsidRPr="00991783">
        <w:rPr>
          <w:rFonts w:ascii="Arial" w:hAnsi="Arial" w:cs="Arial"/>
          <w:sz w:val="22"/>
          <w:szCs w:val="22"/>
          <w:lang w:val="es-CO"/>
        </w:rPr>
        <w:t>Universidad Distrital Francisco José de Caldas</w:t>
      </w:r>
    </w:p>
    <w:sectPr w:rsidR="00FA3D3E" w:rsidRPr="00991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74" w:rsidRDefault="00461774">
      <w:r>
        <w:separator/>
      </w:r>
    </w:p>
  </w:endnote>
  <w:endnote w:type="continuationSeparator" w:id="0">
    <w:p w:rsidR="00461774" w:rsidRDefault="0046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4F" w:rsidRDefault="006D65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4F" w:rsidRDefault="006D65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4F" w:rsidRDefault="006D65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74" w:rsidRDefault="00461774">
      <w:r>
        <w:separator/>
      </w:r>
    </w:p>
  </w:footnote>
  <w:footnote w:type="continuationSeparator" w:id="0">
    <w:p w:rsidR="00461774" w:rsidRDefault="0046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4F" w:rsidRDefault="006D65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991783" w:rsidRPr="00991783" w:rsidTr="00991783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991783" w:rsidRPr="00991783" w:rsidRDefault="0099178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991783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1B9C9E62" wp14:editId="6274C7CD">
                <wp:extent cx="1012308" cy="648586"/>
                <wp:effectExtent l="19050" t="0" r="0" b="0"/>
                <wp:docPr id="2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991783" w:rsidRPr="00991783" w:rsidRDefault="00991783" w:rsidP="00ED7570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991783">
            <w:rPr>
              <w:rFonts w:asciiTheme="minorHAnsi" w:hAnsiTheme="minorHAnsi"/>
              <w:b/>
              <w:sz w:val="22"/>
              <w:szCs w:val="22"/>
            </w:rPr>
            <w:t>Audiencia</w:t>
          </w:r>
        </w:p>
      </w:tc>
      <w:tc>
        <w:tcPr>
          <w:tcW w:w="1560" w:type="dxa"/>
        </w:tcPr>
        <w:p w:rsidR="00991783" w:rsidRPr="00991783" w:rsidRDefault="006D654F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Código CD-PR-002-FR-061</w:t>
          </w:r>
        </w:p>
      </w:tc>
      <w:tc>
        <w:tcPr>
          <w:tcW w:w="1701" w:type="dxa"/>
          <w:vMerge w:val="restart"/>
          <w:vAlign w:val="center"/>
        </w:tcPr>
        <w:p w:rsidR="00991783" w:rsidRPr="00991783" w:rsidRDefault="0099178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991783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851" r:id="rId3"/>
            </w:object>
          </w:r>
        </w:p>
      </w:tc>
    </w:tr>
    <w:tr w:rsidR="00991783" w:rsidRPr="00991783" w:rsidTr="00991783">
      <w:trPr>
        <w:cantSplit/>
        <w:trHeight w:val="445"/>
      </w:trPr>
      <w:tc>
        <w:tcPr>
          <w:tcW w:w="1701" w:type="dxa"/>
          <w:vMerge/>
          <w:vAlign w:val="center"/>
        </w:tcPr>
        <w:p w:rsidR="00991783" w:rsidRPr="00991783" w:rsidRDefault="0099178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991783" w:rsidRPr="00991783" w:rsidRDefault="00991783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991783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991783" w:rsidRPr="00991783" w:rsidRDefault="00991783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991783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991783" w:rsidRPr="00991783" w:rsidRDefault="0099178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991783" w:rsidRPr="00991783" w:rsidTr="00991783">
      <w:trPr>
        <w:cantSplit/>
        <w:trHeight w:val="482"/>
      </w:trPr>
      <w:tc>
        <w:tcPr>
          <w:tcW w:w="1701" w:type="dxa"/>
          <w:vMerge/>
          <w:vAlign w:val="center"/>
        </w:tcPr>
        <w:p w:rsidR="00991783" w:rsidRPr="00991783" w:rsidRDefault="0099178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991783" w:rsidRPr="00991783" w:rsidRDefault="0099178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991783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991783" w:rsidRPr="00991783" w:rsidRDefault="00312F44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991783" w:rsidRPr="00991783" w:rsidRDefault="00991783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991783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991783" w:rsidRDefault="00FA3D3E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4F" w:rsidRDefault="006D65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4442"/>
    <w:multiLevelType w:val="hybridMultilevel"/>
    <w:tmpl w:val="ACE6A2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020859"/>
    <w:rsid w:val="0004084D"/>
    <w:rsid w:val="00061C06"/>
    <w:rsid w:val="00075B07"/>
    <w:rsid w:val="00076CD6"/>
    <w:rsid w:val="00093D43"/>
    <w:rsid w:val="00095F0A"/>
    <w:rsid w:val="000B15E3"/>
    <w:rsid w:val="0018580F"/>
    <w:rsid w:val="00220240"/>
    <w:rsid w:val="00231FC4"/>
    <w:rsid w:val="002E36E4"/>
    <w:rsid w:val="00312F44"/>
    <w:rsid w:val="003B42E8"/>
    <w:rsid w:val="003E3782"/>
    <w:rsid w:val="00461774"/>
    <w:rsid w:val="004C087C"/>
    <w:rsid w:val="005A11E2"/>
    <w:rsid w:val="005E05C7"/>
    <w:rsid w:val="006171CA"/>
    <w:rsid w:val="006D4614"/>
    <w:rsid w:val="006D654F"/>
    <w:rsid w:val="00802956"/>
    <w:rsid w:val="008A7D74"/>
    <w:rsid w:val="00903BF9"/>
    <w:rsid w:val="0098084A"/>
    <w:rsid w:val="00990F70"/>
    <w:rsid w:val="00991783"/>
    <w:rsid w:val="00AB2C74"/>
    <w:rsid w:val="00B416F2"/>
    <w:rsid w:val="00B81541"/>
    <w:rsid w:val="00D0325D"/>
    <w:rsid w:val="00D74694"/>
    <w:rsid w:val="00E41B60"/>
    <w:rsid w:val="00ED7570"/>
    <w:rsid w:val="00F36E86"/>
    <w:rsid w:val="00FA3D3E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  <w:style w:type="paragraph" w:styleId="Prrafodelista">
    <w:name w:val="List Paragraph"/>
    <w:basedOn w:val="Normal"/>
    <w:uiPriority w:val="34"/>
    <w:qFormat/>
    <w:rsid w:val="0061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  <w:style w:type="paragraph" w:styleId="Prrafodelista">
    <w:name w:val="List Paragraph"/>
    <w:basedOn w:val="Normal"/>
    <w:uiPriority w:val="34"/>
    <w:qFormat/>
    <w:rsid w:val="0061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2448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15882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3</cp:revision>
  <cp:lastPrinted>2009-08-10T22:31:00Z</cp:lastPrinted>
  <dcterms:created xsi:type="dcterms:W3CDTF">2014-03-14T12:30:00Z</dcterms:created>
  <dcterms:modified xsi:type="dcterms:W3CDTF">2014-11-26T14:21:00Z</dcterms:modified>
</cp:coreProperties>
</file>