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06" w:rsidRPr="00BD287A" w:rsidRDefault="00061C06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Pr="00BD287A" w:rsidRDefault="00AB2C74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B</w:t>
      </w:r>
      <w:r w:rsidR="00D0325D" w:rsidRPr="00BD287A">
        <w:rPr>
          <w:rFonts w:ascii="Arial" w:hAnsi="Arial" w:cs="Arial"/>
          <w:sz w:val="22"/>
          <w:szCs w:val="22"/>
          <w:lang w:val="es-CO"/>
        </w:rPr>
        <w:t>ogotá, D.C. ____ de ______ de 20__</w:t>
      </w:r>
    </w:p>
    <w:p w:rsidR="00990F70" w:rsidRPr="00BD287A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B7CA0" w:rsidRPr="00BD287A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 xml:space="preserve">Radicación No. </w:t>
      </w:r>
    </w:p>
    <w:p w:rsidR="00FB7CA0" w:rsidRPr="00BD287A" w:rsidRDefault="00BD287A" w:rsidP="00BD287A">
      <w:pPr>
        <w:tabs>
          <w:tab w:val="left" w:pos="346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ab/>
      </w: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t>OBJETO DEL PRONUNCIAMIENTO</w:t>
      </w: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Se pronuncia el despacho sobre la posibilidad de calificar el procedimiento a seguir, bajo los parámetros establecidos en los artículos 175 del C. D. U., y en 'consecuencia citar a audiencia pública al servidor (a) ______________________________________________'</w:t>
      </w: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t>HECHOS Y TIPICIDAD</w:t>
      </w: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 xml:space="preserve">(Descripción de la conducta que es objeto del reproche, con las circunstancias de tiempo, modo y lugar </w:t>
      </w:r>
      <w:r w:rsidRPr="00BD287A">
        <w:rPr>
          <w:rFonts w:ascii="Arial" w:hAnsi="Arial" w:cs="Arial"/>
          <w:bCs/>
          <w:sz w:val="22"/>
          <w:szCs w:val="22"/>
          <w:lang w:val="es-CO"/>
        </w:rPr>
        <w:t xml:space="preserve">en que se realizó, señalando concretamente la acción u omisión que genera la acusación especifica. 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Se sugiere identificar esta conducta, señalando un verbo rector que determine el comportamiento activo u </w:t>
      </w:r>
      <w:proofErr w:type="spellStart"/>
      <w:r w:rsidRPr="00BD287A">
        <w:rPr>
          <w:rFonts w:ascii="Arial" w:hAnsi="Arial" w:cs="Arial"/>
          <w:sz w:val="22"/>
          <w:szCs w:val="22"/>
          <w:lang w:val="es-CO"/>
        </w:rPr>
        <w:t>omisivo</w:t>
      </w:r>
      <w:proofErr w:type="spellEnd"/>
      <w:r w:rsidRPr="00BD287A">
        <w:rPr>
          <w:rFonts w:ascii="Arial" w:hAnsi="Arial" w:cs="Arial"/>
          <w:sz w:val="22"/>
          <w:szCs w:val="22"/>
          <w:lang w:val="es-CO"/>
        </w:rPr>
        <w:t xml:space="preserve"> del disciplinado)</w:t>
      </w: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 xml:space="preserve">Constituye falta disciplinaria de acuerdo con el artículo 23 de la ley 734 de 2002: </w:t>
      </w:r>
      <w:r w:rsidRPr="00BD287A">
        <w:rPr>
          <w:rFonts w:ascii="Arial" w:hAnsi="Arial" w:cs="Arial"/>
          <w:i/>
          <w:iCs/>
          <w:sz w:val="22"/>
          <w:szCs w:val="22"/>
          <w:lang w:val="es-CO"/>
        </w:rPr>
        <w:t xml:space="preserve">"la incursión en cualquiera de las conductas 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o </w:t>
      </w:r>
      <w:r w:rsidRPr="00BD287A">
        <w:rPr>
          <w:rFonts w:ascii="Arial" w:hAnsi="Arial" w:cs="Arial"/>
          <w:i/>
          <w:iCs/>
          <w:sz w:val="22"/>
          <w:szCs w:val="22"/>
          <w:lang w:val="es-CO"/>
        </w:rPr>
        <w:t>comportamientos previstos en este código que; conlleve incumplimiento de deberes, extralimitación en el ejercicio de derechos y funciones, prohibiciones y violación del régimen de inhabilidades, incompatibilidades, impedimentos y conflicto de intereses, sin estar amparado por cualquiera de las causales de exclusión de responsabilidad contempladas en el artículo 28 del presente ordenamiento"</w:t>
      </w: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De acuerdo con la norma citada, el disciplinado pudo incurrir en viola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ción de (se señala el deber, la </w:t>
      </w:r>
      <w:r w:rsidRPr="00BD287A">
        <w:rPr>
          <w:rFonts w:ascii="Arial" w:hAnsi="Arial" w:cs="Arial"/>
          <w:sz w:val="22"/>
          <w:szCs w:val="22"/>
          <w:lang w:val="es-CO"/>
        </w:rPr>
        <w:t>prohibición, conflicto de intereses, según el caso, indicando las disposiciones legales que describen y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complementan la conducta; determinando adem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ás el concepto de la violación </w:t>
      </w:r>
      <w:r w:rsidRPr="00BD287A">
        <w:rPr>
          <w:rFonts w:ascii="Arial" w:hAnsi="Arial" w:cs="Arial"/>
          <w:sz w:val="22"/>
          <w:szCs w:val="22"/>
          <w:lang w:val="es-CO"/>
        </w:rPr>
        <w:t>forma como se está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contrariando la norma y la modalidad de la conducta acción u </w:t>
      </w:r>
      <w:r w:rsidRPr="00BD287A">
        <w:rPr>
          <w:rFonts w:ascii="Arial" w:hAnsi="Arial" w:cs="Arial"/>
          <w:sz w:val="22"/>
          <w:szCs w:val="22"/>
          <w:lang w:val="es-CO"/>
        </w:rPr>
        <w:t>om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isión. Es importante señalar la </w:t>
      </w:r>
      <w:r w:rsidRPr="00BD287A">
        <w:rPr>
          <w:rFonts w:ascii="Arial" w:hAnsi="Arial" w:cs="Arial"/>
          <w:sz w:val="22"/>
          <w:szCs w:val="22"/>
          <w:lang w:val="es-CO"/>
        </w:rPr>
        <w:t>norma que contiene el deber funcional vulnerado, pues de ello depende el cumplimiento del principio de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ilicitud sustancial.)</w:t>
      </w:r>
    </w:p>
    <w:p w:rsidR="006171CA" w:rsidRPr="00BD287A" w:rsidRDefault="006171CA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(Este ejercicio se debe cumplir respecto de cada una de las conductas objeto de acusación o formulación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de cargos)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802956" w:rsidRPr="00BD287A" w:rsidRDefault="00802956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802956" w:rsidRPr="00BD287A" w:rsidRDefault="00802956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t>PRUEBAS FUNDAMENTO DE LA CITACION</w:t>
      </w:r>
    </w:p>
    <w:p w:rsidR="00802956" w:rsidRPr="00BD287A" w:rsidRDefault="00802956" w:rsidP="006171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(Una vez realizada la adecuación de la conducta dentro de la norma disci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plinaria, el despacho estudiará </w:t>
      </w:r>
      <w:r w:rsidRPr="00BD287A">
        <w:rPr>
          <w:rFonts w:ascii="Arial" w:hAnsi="Arial" w:cs="Arial"/>
          <w:bCs/>
          <w:sz w:val="22"/>
          <w:szCs w:val="22"/>
          <w:lang w:val="es-CO"/>
        </w:rPr>
        <w:t>los requisitos de procedibilidad que permiten acudir al procedimiento verbal, pronunciándose sobre la</w:t>
      </w:r>
      <w:r w:rsidR="006171CA" w:rsidRPr="00BD287A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causal concreta que debe aplicarse, según sea el caso)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El Código Único Disciplinario estableció un procedimiento especial, consagrado en el libro IV, título XI,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capitulo primero, artículos 175 y s.s., a través del cual, en ciertos eventos, como la flagrancia, la confesión,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las faltas leves, la ritualidad adjetiva acu</w:t>
      </w:r>
      <w:r w:rsidR="006171CA" w:rsidRPr="00BD287A">
        <w:rPr>
          <w:rFonts w:ascii="Arial" w:hAnsi="Arial" w:cs="Arial"/>
          <w:sz w:val="22"/>
          <w:szCs w:val="22"/>
          <w:lang w:val="es-CO"/>
        </w:rPr>
        <w:t>de con mayor énfasis a los princ</w:t>
      </w:r>
      <w:r w:rsidRPr="00BD287A">
        <w:rPr>
          <w:rFonts w:ascii="Arial" w:hAnsi="Arial" w:cs="Arial"/>
          <w:sz w:val="22"/>
          <w:szCs w:val="22"/>
          <w:lang w:val="es-CO"/>
        </w:rPr>
        <w:t>ipios de celeridad, inme</w:t>
      </w:r>
      <w:r w:rsidRPr="00BD287A">
        <w:rPr>
          <w:rFonts w:ascii="Arial" w:hAnsi="Arial" w:cs="Arial"/>
          <w:bCs/>
          <w:sz w:val="22"/>
          <w:szCs w:val="22"/>
          <w:lang w:val="es-CO"/>
        </w:rPr>
        <w:t>diatez,</w:t>
      </w:r>
      <w:r w:rsidR="006171CA" w:rsidRPr="00BD287A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bCs/>
          <w:sz w:val="22"/>
          <w:szCs w:val="22"/>
          <w:lang w:val="es-CO"/>
        </w:rPr>
        <w:t xml:space="preserve">economía y </w:t>
      </w:r>
      <w:r w:rsidR="006171CA" w:rsidRPr="00BD287A">
        <w:rPr>
          <w:rFonts w:ascii="Arial" w:eastAsia="HiddenHorzOCR" w:hAnsi="Arial" w:cs="Arial"/>
          <w:sz w:val="22"/>
          <w:szCs w:val="22"/>
          <w:lang w:val="es-CO"/>
        </w:rPr>
        <w:t>conce</w:t>
      </w:r>
      <w:r w:rsidRPr="00BD287A">
        <w:rPr>
          <w:rFonts w:ascii="Arial" w:eastAsia="HiddenHorzOCR" w:hAnsi="Arial" w:cs="Arial"/>
          <w:sz w:val="22"/>
          <w:szCs w:val="22"/>
          <w:lang w:val="es-CO"/>
        </w:rPr>
        <w:t xml:space="preserve">ntración, </w:t>
      </w:r>
      <w:r w:rsidR="006171CA" w:rsidRPr="00BD287A">
        <w:rPr>
          <w:rFonts w:ascii="Arial" w:hAnsi="Arial" w:cs="Arial"/>
          <w:bCs/>
          <w:sz w:val="22"/>
          <w:szCs w:val="22"/>
          <w:lang w:val="es-CO"/>
        </w:rPr>
        <w:t xml:space="preserve">buscando </w:t>
      </w:r>
      <w:r w:rsidRPr="00BD287A">
        <w:rPr>
          <w:rFonts w:ascii="Arial" w:hAnsi="Arial" w:cs="Arial"/>
          <w:bCs/>
          <w:sz w:val="22"/>
          <w:szCs w:val="22"/>
          <w:lang w:val="es-CO"/>
        </w:rPr>
        <w:t>una solución</w:t>
      </w:r>
      <w:r w:rsidRPr="00BD287A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6171CA" w:rsidRPr="00BD287A">
        <w:rPr>
          <w:rFonts w:ascii="Arial" w:eastAsia="HiddenHorzOCR" w:hAnsi="Arial" w:cs="Arial"/>
          <w:sz w:val="22"/>
          <w:szCs w:val="22"/>
          <w:lang w:val="es-CO"/>
        </w:rPr>
        <w:t>exped</w:t>
      </w:r>
      <w:r w:rsidRPr="00BD287A">
        <w:rPr>
          <w:rFonts w:ascii="Arial" w:eastAsia="HiddenHorzOCR" w:hAnsi="Arial" w:cs="Arial"/>
          <w:sz w:val="22"/>
          <w:szCs w:val="22"/>
          <w:lang w:val="es-CO"/>
        </w:rPr>
        <w:t xml:space="preserve">ita </w:t>
      </w:r>
      <w:r w:rsidRPr="00BD287A">
        <w:rPr>
          <w:rFonts w:ascii="Arial" w:hAnsi="Arial" w:cs="Arial"/>
          <w:bCs/>
          <w:sz w:val="22"/>
          <w:szCs w:val="22"/>
          <w:lang w:val="es-CO"/>
        </w:rPr>
        <w:t>a la acción disciplinaria.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Igualmente se debe aplicar dicho procedimiento, cuando se trate de alguna de las faltas gravísimas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contempladas en el inciso segundo del artículo 175 en cita.</w:t>
      </w:r>
    </w:p>
    <w:p w:rsidR="006171CA" w:rsidRPr="00BD287A" w:rsidRDefault="006171CA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Finalmente, según lo dispone el inciso tercero del artículo 175 ya menciona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do, cuando al momento de </w:t>
      </w:r>
      <w:r w:rsidRPr="00BD287A">
        <w:rPr>
          <w:rFonts w:ascii="Arial" w:hAnsi="Arial" w:cs="Arial"/>
          <w:sz w:val="22"/>
          <w:szCs w:val="22"/>
          <w:lang w:val="es-CO"/>
        </w:rPr>
        <w:t>valorar sobre la decisión de apertura de investigación se encuentren demostra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dos los requisitos sustanciales </w:t>
      </w:r>
      <w:r w:rsidRPr="00BD287A">
        <w:rPr>
          <w:rFonts w:ascii="Arial" w:hAnsi="Arial" w:cs="Arial"/>
          <w:sz w:val="22"/>
          <w:szCs w:val="22"/>
          <w:lang w:val="es-CO"/>
        </w:rPr>
        <w:t>para proferir pliego de cargos. Estos son, por remisión al artículo 162 Ibídem, la demostración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objetiva de la falta y la existencia de pruebas que comprometan la responsabilidad del investigado.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Con base en los anteriores lineamientos, en el presente evento aparece demostrada la (flagrancia,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confesión, o nos encontramos ante una falta leve, o se encuentran reunidos los requisitos sustanciales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para proferir pliego de cargos, o nos encontramos ante una de las faltas gravísimas que ameritan procedimiento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verbal), razón suficiente para llamar a responder al servidor (indicar el nombre, identificación y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cargo) por la conducta objeto de imputación.</w:t>
      </w:r>
    </w:p>
    <w:p w:rsidR="006171CA" w:rsidRPr="00BD287A" w:rsidRDefault="006171CA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Las pruebas en que se fundamenta esta decisión son las siguientes: (se hace análisis y valoración de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las pruebas  </w:t>
      </w:r>
      <w:r w:rsidRPr="00BD287A">
        <w:rPr>
          <w:rFonts w:ascii="Arial" w:hAnsi="Arial" w:cs="Arial"/>
          <w:sz w:val="22"/>
          <w:szCs w:val="22"/>
          <w:lang w:val="es-CO"/>
        </w:rPr>
        <w:t>no basta con la simple enunciación de las pruebas pues resulta indispensable hacer una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ver</w:t>
      </w:r>
      <w:r w:rsidRPr="00BD287A">
        <w:rPr>
          <w:rFonts w:ascii="Arial" w:hAnsi="Arial" w:cs="Arial"/>
          <w:sz w:val="22"/>
          <w:szCs w:val="22"/>
          <w:lang w:val="es-CO"/>
        </w:rPr>
        <w:t>dadera evaluación de las mismas de conformidad con el artículo 141 del CDU)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lastRenderedPageBreak/>
        <w:t>(Cada conducta objeto d</w:t>
      </w:r>
      <w:r w:rsidR="006171CA" w:rsidRPr="00BD287A">
        <w:rPr>
          <w:rFonts w:ascii="Arial" w:hAnsi="Arial" w:cs="Arial"/>
          <w:sz w:val="22"/>
          <w:szCs w:val="22"/>
          <w:lang w:val="es-CO"/>
        </w:rPr>
        <w:t>e acusación debe tener un soport</w:t>
      </w:r>
      <w:r w:rsidRPr="00BD287A">
        <w:rPr>
          <w:rFonts w:ascii="Arial" w:hAnsi="Arial" w:cs="Arial"/>
          <w:sz w:val="22"/>
          <w:szCs w:val="22"/>
          <w:lang w:val="es-CO"/>
        </w:rPr>
        <w:t>e probatorio y un análisis independiente)</w:t>
      </w:r>
    </w:p>
    <w:p w:rsidR="006171CA" w:rsidRPr="00BD287A" w:rsidRDefault="006171CA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6171CA" w:rsidRPr="00BD287A" w:rsidRDefault="006171CA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6171CA" w:rsidRPr="00BD287A" w:rsidRDefault="006171CA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BD287A">
        <w:rPr>
          <w:rFonts w:ascii="Arial" w:hAnsi="Arial" w:cs="Arial"/>
          <w:b/>
          <w:sz w:val="22"/>
          <w:szCs w:val="22"/>
          <w:lang w:val="es-CO"/>
        </w:rPr>
        <w:t>PRUEBAS QUE SE PRACTICARAN EN LA AUDIENCIA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En la audiencia se practicarán (indicar las pruebas que se practicarán en la audiencia, se debe recordar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que se debe escuchar en versión libre al implicado)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BD287A">
        <w:rPr>
          <w:rFonts w:ascii="Arial" w:hAnsi="Arial" w:cs="Arial"/>
          <w:b/>
          <w:sz w:val="22"/>
          <w:szCs w:val="22"/>
          <w:lang w:val="es-CO"/>
        </w:rPr>
        <w:t>DETERMINACION DE LA GRAVEDAD DE LA FALTA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(Si se trata de falta grave o leve se deben analizar los criterios del artículo 43 de la ley 734)</w:t>
      </w:r>
    </w:p>
    <w:p w:rsidR="006171CA" w:rsidRPr="00BD287A" w:rsidRDefault="006171CA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De conformidad con los artículos 43 de la ley 734 de 2DD2 se analizan los criterios para determinación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de la gravedad del cargo imputado así:</w:t>
      </w:r>
    </w:p>
    <w:p w:rsidR="005A11E2" w:rsidRPr="00BD287A" w:rsidRDefault="006171CA" w:rsidP="006171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Grado de culpa</w:t>
      </w:r>
      <w:r w:rsidR="005A11E2" w:rsidRPr="00BD287A">
        <w:rPr>
          <w:rFonts w:ascii="Arial" w:hAnsi="Arial" w:cs="Arial"/>
          <w:sz w:val="22"/>
          <w:szCs w:val="22"/>
          <w:lang w:val="es-CO"/>
        </w:rPr>
        <w:t>bilidad.</w:t>
      </w:r>
    </w:p>
    <w:p w:rsidR="005A11E2" w:rsidRPr="00BD287A" w:rsidRDefault="005A11E2" w:rsidP="006171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Naturaleza esencial del servicio</w:t>
      </w:r>
    </w:p>
    <w:p w:rsidR="005A11E2" w:rsidRPr="00BD287A" w:rsidRDefault="005A11E2" w:rsidP="006171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Grado de perturbación del servicio</w:t>
      </w:r>
    </w:p>
    <w:p w:rsidR="005A11E2" w:rsidRPr="00BD287A" w:rsidRDefault="005A11E2" w:rsidP="006171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La jerarquía del funcionario</w:t>
      </w:r>
    </w:p>
    <w:p w:rsidR="005A11E2" w:rsidRPr="00BD287A" w:rsidRDefault="005A11E2" w:rsidP="006171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La trascendencia social de la falta</w:t>
      </w:r>
    </w:p>
    <w:p w:rsidR="005A11E2" w:rsidRPr="00BD287A" w:rsidRDefault="005A11E2" w:rsidP="006171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Las modalidades y circunstancias en que se cometió la falta</w:t>
      </w:r>
    </w:p>
    <w:p w:rsidR="005A11E2" w:rsidRPr="00BD287A" w:rsidRDefault="005A11E2" w:rsidP="006171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Los motivos determinantes del comportamiento</w:t>
      </w:r>
    </w:p>
    <w:p w:rsidR="005A11E2" w:rsidRPr="00BD287A" w:rsidRDefault="005A11E2" w:rsidP="006171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La falta fue cometida por (una o varias personas)</w:t>
      </w:r>
    </w:p>
    <w:p w:rsidR="006171CA" w:rsidRPr="00BD287A" w:rsidRDefault="006171CA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6171CA" w:rsidRPr="00BD287A" w:rsidRDefault="005A11E2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(Concluir cómo se califica la falta)</w:t>
      </w:r>
    </w:p>
    <w:p w:rsidR="006171CA" w:rsidRPr="00BD287A" w:rsidRDefault="006171CA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BD287A">
        <w:rPr>
          <w:rFonts w:ascii="Arial" w:hAnsi="Arial" w:cs="Arial"/>
          <w:b/>
          <w:sz w:val="22"/>
          <w:szCs w:val="22"/>
          <w:lang w:val="es-CO"/>
        </w:rPr>
        <w:t>FORMA DE LA CULPABILIDAD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Las dos formas de culpabilidad admitidas en el derecho disciplinario son el dolo y culpa, según lo dispone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el artículo 13 de la ley 734 de 2002.</w:t>
      </w:r>
    </w:p>
    <w:p w:rsidR="006171CA" w:rsidRPr="00BD287A" w:rsidRDefault="006171CA" w:rsidP="005A11E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6171CA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(Determinar si la conducta se realizó a título dolo o culpa y por qué, cuáles son las pruebas que soportan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dicha conclusión,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esta labor se debe cumplir con cada </w:t>
      </w:r>
      <w:r w:rsidRPr="00BD287A">
        <w:rPr>
          <w:rFonts w:ascii="Arial" w:hAnsi="Arial" w:cs="Arial"/>
          <w:sz w:val="22"/>
          <w:szCs w:val="22"/>
          <w:lang w:val="es-CO"/>
        </w:rPr>
        <w:t>una de las conductas objeto de acusación)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t>FECHA Y HORA EN QUE SE PRACTICARA LA AUDIENCIA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La audiencia se realizará en (indicar el. lugar, fecha y hora en que se dará inicio a la audiencia)</w:t>
      </w:r>
    </w:p>
    <w:p w:rsidR="00802956" w:rsidRPr="00BD287A" w:rsidRDefault="005A11E2" w:rsidP="0080295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s-CO"/>
        </w:rPr>
      </w:pPr>
      <w:r w:rsidRPr="00BD287A">
        <w:rPr>
          <w:rFonts w:ascii="Arial" w:hAnsi="Arial" w:cs="Arial"/>
          <w:bCs/>
          <w:sz w:val="22"/>
          <w:szCs w:val="22"/>
          <w:lang w:val="es-CO"/>
        </w:rPr>
        <w:t>En consecuencia</w:t>
      </w:r>
    </w:p>
    <w:p w:rsidR="005A11E2" w:rsidRPr="00BD287A" w:rsidRDefault="005A11E2" w:rsidP="0080295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t>RESUELVE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t xml:space="preserve">PRIMERO: DISPONER </w:t>
      </w:r>
      <w:r w:rsidRPr="00BD287A">
        <w:rPr>
          <w:rFonts w:ascii="Arial" w:hAnsi="Arial" w:cs="Arial"/>
          <w:sz w:val="22"/>
          <w:szCs w:val="22"/>
          <w:lang w:val="es-CO"/>
        </w:rPr>
        <w:t>que la presente actuación disciplinaria continúe bajo los lineamientos del procedimiento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especial, señalado en el Libro IV, Título XI, artículos 175 y s.s. de la ley 734 de 2.002.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t xml:space="preserve">SEGUNDO: 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Como consecuencia de la anterior determinación </w:t>
      </w:r>
      <w:r w:rsidRPr="00BD287A">
        <w:rPr>
          <w:rFonts w:ascii="Arial" w:hAnsi="Arial" w:cs="Arial"/>
          <w:b/>
          <w:bCs/>
          <w:sz w:val="22"/>
          <w:szCs w:val="22"/>
          <w:lang w:val="es-CO"/>
        </w:rPr>
        <w:t xml:space="preserve">CITAR </w:t>
      </w:r>
      <w:r w:rsidRPr="00BD287A">
        <w:rPr>
          <w:rFonts w:ascii="Arial" w:hAnsi="Arial" w:cs="Arial"/>
          <w:sz w:val="22"/>
          <w:szCs w:val="22"/>
          <w:lang w:val="es-CO"/>
        </w:rPr>
        <w:t>a audi</w:t>
      </w:r>
      <w:r w:rsidR="006171CA" w:rsidRPr="00BD287A">
        <w:rPr>
          <w:rFonts w:ascii="Arial" w:hAnsi="Arial" w:cs="Arial"/>
          <w:sz w:val="22"/>
          <w:szCs w:val="22"/>
          <w:lang w:val="es-CO"/>
        </w:rPr>
        <w:t>encia pública al señor _________________________ diligencia que se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 llevará a cabo en este Despacho, el próximo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___ de ___ </w:t>
      </w:r>
      <w:proofErr w:type="spellStart"/>
      <w:r w:rsidR="006171CA" w:rsidRPr="00BD287A">
        <w:rPr>
          <w:rFonts w:ascii="Arial" w:hAnsi="Arial" w:cs="Arial"/>
          <w:sz w:val="22"/>
          <w:szCs w:val="22"/>
          <w:lang w:val="es-CO"/>
        </w:rPr>
        <w:t>de</w:t>
      </w:r>
      <w:proofErr w:type="spellEnd"/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20___ </w:t>
      </w:r>
      <w:r w:rsidRPr="00BD287A">
        <w:rPr>
          <w:rFonts w:ascii="Arial" w:hAnsi="Arial" w:cs="Arial"/>
          <w:sz w:val="22"/>
          <w:szCs w:val="22"/>
          <w:lang w:val="es-CO"/>
        </w:rPr>
        <w:t>para que responda por la conducta señalada en los anteriores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considerandos, rindiendo versión, verbal o es</w:t>
      </w:r>
      <w:r w:rsidR="006171CA" w:rsidRPr="00BD287A">
        <w:rPr>
          <w:rFonts w:ascii="Arial" w:hAnsi="Arial" w:cs="Arial"/>
          <w:sz w:val="22"/>
          <w:szCs w:val="22"/>
          <w:lang w:val="es-CO"/>
        </w:rPr>
        <w:t>crita, sobre la comisión de los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 hechos.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t xml:space="preserve">TERCERO: Tener </w:t>
      </w:r>
      <w:r w:rsidRPr="00BD287A">
        <w:rPr>
          <w:rFonts w:ascii="Arial" w:hAnsi="Arial" w:cs="Arial"/>
          <w:sz w:val="22"/>
          <w:szCs w:val="22"/>
          <w:lang w:val="es-CO"/>
        </w:rPr>
        <w:t>como pruebas las que reposan hasta el momento en la presente actuación y fueron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evaluadas en la parte motiva de esta decisión.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t xml:space="preserve">CUARTO: Practicar 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en la audiencia </w:t>
      </w:r>
      <w:r w:rsidR="006171CA" w:rsidRPr="00BD287A">
        <w:rPr>
          <w:rFonts w:ascii="Arial" w:hAnsi="Arial" w:cs="Arial"/>
          <w:sz w:val="22"/>
          <w:szCs w:val="22"/>
          <w:lang w:val="es-CO"/>
        </w:rPr>
        <w:t>las pruebas ordenadas en los ant</w:t>
      </w:r>
      <w:r w:rsidRPr="00BD287A">
        <w:rPr>
          <w:rFonts w:ascii="Arial" w:hAnsi="Arial" w:cs="Arial"/>
          <w:sz w:val="22"/>
          <w:szCs w:val="22"/>
          <w:lang w:val="es-CO"/>
        </w:rPr>
        <w:t>eriores considerandos.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t xml:space="preserve">QUINTO: Escuchar 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en </w:t>
      </w:r>
      <w:r w:rsidR="006171CA" w:rsidRPr="00BD287A">
        <w:rPr>
          <w:rFonts w:ascii="Arial" w:hAnsi="Arial" w:cs="Arial"/>
          <w:sz w:val="22"/>
          <w:szCs w:val="22"/>
          <w:lang w:val="es-CO"/>
        </w:rPr>
        <w:t>versión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 libre a (indicar al implicado) el día de l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a audiencia, dando cumplimiento 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a lo dispuesto por el 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artículo 177 de la ley 734 del 2002. 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t xml:space="preserve">SEXTO: Oficiar </w:t>
      </w:r>
      <w:r w:rsidRPr="00BD287A">
        <w:rPr>
          <w:rFonts w:ascii="Arial" w:hAnsi="Arial" w:cs="Arial"/>
          <w:sz w:val="22"/>
          <w:szCs w:val="22"/>
          <w:lang w:val="es-CO"/>
        </w:rPr>
        <w:t>a la Procuraduría General de la Nación y a la Personería Distrital a fin de dar cumplimiento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a lo ordenado por el </w:t>
      </w:r>
      <w:r w:rsidR="006171CA" w:rsidRPr="00BD287A">
        <w:rPr>
          <w:rFonts w:ascii="Arial" w:hAnsi="Arial" w:cs="Arial"/>
          <w:sz w:val="22"/>
          <w:szCs w:val="22"/>
          <w:lang w:val="es-CO"/>
        </w:rPr>
        <w:t>artículo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 176 de la ley 734 de 2002.</w:t>
      </w:r>
    </w:p>
    <w:p w:rsidR="006171CA" w:rsidRPr="00BD287A" w:rsidRDefault="006171CA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A11E2" w:rsidRPr="00BD287A" w:rsidRDefault="005A11E2" w:rsidP="00617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t xml:space="preserve">SEPTIMO: NOTIFICAR PERSONALMENTE </w:t>
      </w:r>
      <w:r w:rsidRPr="00BD287A">
        <w:rPr>
          <w:rFonts w:ascii="Arial" w:hAnsi="Arial" w:cs="Arial"/>
          <w:sz w:val="22"/>
          <w:szCs w:val="22"/>
          <w:lang w:val="es-CO"/>
        </w:rPr>
        <w:t>esta decisión al sujeto procesal, en los términos del artículo</w:t>
      </w:r>
      <w:r w:rsidR="006171CA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186 de la Ley 734 de 2002, advirtiéndole que sí no comparece dentro del término de dos (2) días,</w:t>
      </w:r>
      <w:r w:rsidR="00802956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contados a partir del </w:t>
      </w:r>
      <w:r w:rsidR="00802956" w:rsidRPr="00BD287A">
        <w:rPr>
          <w:rFonts w:ascii="Arial" w:hAnsi="Arial" w:cs="Arial"/>
          <w:sz w:val="22"/>
          <w:szCs w:val="22"/>
          <w:lang w:val="es-CO"/>
        </w:rPr>
        <w:t>envío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 de la citación, se le notificará por edicto y </w:t>
      </w:r>
      <w:r w:rsidR="00802956" w:rsidRPr="00BD287A">
        <w:rPr>
          <w:rFonts w:ascii="Arial" w:hAnsi="Arial" w:cs="Arial"/>
          <w:sz w:val="22"/>
          <w:szCs w:val="22"/>
          <w:lang w:val="es-CO"/>
        </w:rPr>
        <w:t>se le designará defensor de ofic</w:t>
      </w:r>
      <w:r w:rsidRPr="00BD287A">
        <w:rPr>
          <w:rFonts w:ascii="Arial" w:hAnsi="Arial" w:cs="Arial"/>
          <w:sz w:val="22"/>
          <w:szCs w:val="22"/>
          <w:lang w:val="es-CO"/>
        </w:rPr>
        <w:t>io,</w:t>
      </w:r>
      <w:r w:rsidR="00802956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bCs/>
          <w:sz w:val="22"/>
          <w:szCs w:val="22"/>
          <w:lang w:val="es-CO"/>
        </w:rPr>
        <w:t>con quien se continuará el procedimiento, sin perjuicio de que posteriormente comparezca o designe</w:t>
      </w:r>
      <w:r w:rsidR="00802956" w:rsidRPr="00BD287A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>defensor.</w:t>
      </w:r>
    </w:p>
    <w:p w:rsidR="00075B07" w:rsidRPr="00BD287A" w:rsidRDefault="005A11E2" w:rsidP="008029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lastRenderedPageBreak/>
        <w:t xml:space="preserve">OCTAVO: ADVERTIR 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al sujeto procesal </w:t>
      </w:r>
      <w:r w:rsidR="00802956" w:rsidRPr="00BD287A">
        <w:rPr>
          <w:rFonts w:ascii="Arial" w:hAnsi="Arial" w:cs="Arial"/>
          <w:sz w:val="22"/>
          <w:szCs w:val="22"/>
          <w:lang w:val="es-CO"/>
        </w:rPr>
        <w:t>que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 contra esta decisión no procede recurso alguno, de conformidad</w:t>
      </w:r>
      <w:r w:rsidR="00802956" w:rsidRPr="00BD287A">
        <w:rPr>
          <w:rFonts w:ascii="Arial" w:hAnsi="Arial" w:cs="Arial"/>
          <w:sz w:val="22"/>
          <w:szCs w:val="22"/>
          <w:lang w:val="es-CO"/>
        </w:rPr>
        <w:t xml:space="preserve"> </w:t>
      </w:r>
      <w:r w:rsidRPr="00BD287A">
        <w:rPr>
          <w:rFonts w:ascii="Arial" w:hAnsi="Arial" w:cs="Arial"/>
          <w:sz w:val="22"/>
          <w:szCs w:val="22"/>
          <w:lang w:val="es-CO"/>
        </w:rPr>
        <w:t xml:space="preserve">con lo previsto en el </w:t>
      </w:r>
      <w:r w:rsidR="00802956" w:rsidRPr="00BD287A">
        <w:rPr>
          <w:rFonts w:ascii="Arial" w:hAnsi="Arial" w:cs="Arial"/>
          <w:sz w:val="22"/>
          <w:szCs w:val="22"/>
          <w:lang w:val="es-CO"/>
        </w:rPr>
        <w:t>artículo 177 del C. D. U.</w:t>
      </w:r>
    </w:p>
    <w:p w:rsidR="00075B07" w:rsidRPr="00BD287A" w:rsidRDefault="00075B07" w:rsidP="0080295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18580F" w:rsidRPr="00BD287A" w:rsidRDefault="005A11E2" w:rsidP="00075B07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BD287A">
        <w:rPr>
          <w:rFonts w:ascii="Arial" w:hAnsi="Arial" w:cs="Arial"/>
          <w:b/>
          <w:bCs/>
          <w:sz w:val="22"/>
          <w:szCs w:val="22"/>
          <w:lang w:val="es-CO"/>
        </w:rPr>
        <w:t>NOTIFIQUESE</w:t>
      </w:r>
      <w:r w:rsidR="00075B07" w:rsidRPr="00BD287A">
        <w:rPr>
          <w:rFonts w:ascii="Arial" w:hAnsi="Arial" w:cs="Arial"/>
          <w:b/>
          <w:bCs/>
          <w:sz w:val="22"/>
          <w:szCs w:val="22"/>
          <w:lang w:val="es-CO"/>
        </w:rPr>
        <w:t xml:space="preserve"> Y CUMPLASE</w:t>
      </w:r>
    </w:p>
    <w:p w:rsidR="00802956" w:rsidRPr="00BD287A" w:rsidRDefault="00802956" w:rsidP="00075B07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802956" w:rsidRPr="00BD287A" w:rsidRDefault="00802956" w:rsidP="00075B07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802956" w:rsidRPr="00BD287A" w:rsidRDefault="00802956" w:rsidP="00075B07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18580F" w:rsidRPr="00BD287A" w:rsidRDefault="0018580F" w:rsidP="0018580F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BD287A">
        <w:rPr>
          <w:rFonts w:ascii="Arial" w:hAnsi="Arial" w:cs="Arial"/>
          <w:b/>
          <w:sz w:val="22"/>
          <w:szCs w:val="22"/>
          <w:lang w:val="es-CO"/>
        </w:rPr>
        <w:t>__________________________________________</w:t>
      </w:r>
    </w:p>
    <w:p w:rsidR="0018580F" w:rsidRPr="00BD287A" w:rsidRDefault="0018580F" w:rsidP="0018580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Jefe Oficina Asesora de Asuntos Disciplinarios</w:t>
      </w:r>
    </w:p>
    <w:p w:rsidR="00FA3D3E" w:rsidRPr="00BD287A" w:rsidRDefault="0018580F" w:rsidP="00075B07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BD287A">
        <w:rPr>
          <w:rFonts w:ascii="Arial" w:hAnsi="Arial" w:cs="Arial"/>
          <w:sz w:val="22"/>
          <w:szCs w:val="22"/>
          <w:lang w:val="es-CO"/>
        </w:rPr>
        <w:t>Universidad Distrital Francisco José de Caldas</w:t>
      </w:r>
    </w:p>
    <w:sectPr w:rsidR="00FA3D3E" w:rsidRPr="00BD2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95" w:rsidRDefault="00996495">
      <w:r>
        <w:separator/>
      </w:r>
    </w:p>
  </w:endnote>
  <w:endnote w:type="continuationSeparator" w:id="0">
    <w:p w:rsidR="00996495" w:rsidRDefault="0099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0" w:rsidRDefault="002221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0" w:rsidRDefault="002221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0" w:rsidRDefault="002221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95" w:rsidRDefault="00996495">
      <w:r>
        <w:separator/>
      </w:r>
    </w:p>
  </w:footnote>
  <w:footnote w:type="continuationSeparator" w:id="0">
    <w:p w:rsidR="00996495" w:rsidRDefault="00996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0" w:rsidRDefault="002221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BD287A" w:rsidRPr="00BD287A" w:rsidTr="00BD287A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BD287A" w:rsidRPr="00BD287A" w:rsidRDefault="00BD287A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D287A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998532F" wp14:editId="33BBE6C0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D287A" w:rsidRPr="00BD287A" w:rsidRDefault="00BD287A" w:rsidP="00FB7CA0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BD287A">
            <w:rPr>
              <w:rFonts w:asciiTheme="minorHAnsi" w:hAnsiTheme="minorHAnsi"/>
              <w:b/>
              <w:sz w:val="22"/>
              <w:szCs w:val="22"/>
            </w:rPr>
            <w:t>Auto Citación Audiencia</w:t>
          </w:r>
        </w:p>
      </w:tc>
      <w:tc>
        <w:tcPr>
          <w:tcW w:w="1560" w:type="dxa"/>
        </w:tcPr>
        <w:p w:rsidR="00BD287A" w:rsidRPr="00BD287A" w:rsidRDefault="0022210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CD-PR-002-FR-054</w:t>
          </w:r>
        </w:p>
      </w:tc>
      <w:tc>
        <w:tcPr>
          <w:tcW w:w="1701" w:type="dxa"/>
          <w:vMerge w:val="restart"/>
          <w:vAlign w:val="center"/>
        </w:tcPr>
        <w:p w:rsidR="00BD287A" w:rsidRPr="00BD287A" w:rsidRDefault="00BD287A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BD287A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775" r:id="rId3"/>
            </w:object>
          </w:r>
        </w:p>
      </w:tc>
    </w:tr>
    <w:tr w:rsidR="00BD287A" w:rsidRPr="00BD287A" w:rsidTr="00BD287A">
      <w:trPr>
        <w:cantSplit/>
        <w:trHeight w:val="445"/>
      </w:trPr>
      <w:tc>
        <w:tcPr>
          <w:tcW w:w="1701" w:type="dxa"/>
          <w:vMerge/>
          <w:vAlign w:val="center"/>
        </w:tcPr>
        <w:p w:rsidR="00BD287A" w:rsidRPr="00BD287A" w:rsidRDefault="00BD287A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BD287A" w:rsidRPr="00BD287A" w:rsidRDefault="00BD287A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BD287A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BD287A" w:rsidRPr="00BD287A" w:rsidRDefault="00BD287A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D287A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BD287A" w:rsidRPr="00BD287A" w:rsidRDefault="00BD287A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BD287A" w:rsidRPr="00BD287A" w:rsidTr="00BD287A">
      <w:trPr>
        <w:cantSplit/>
        <w:trHeight w:val="482"/>
      </w:trPr>
      <w:tc>
        <w:tcPr>
          <w:tcW w:w="1701" w:type="dxa"/>
          <w:vMerge/>
          <w:vAlign w:val="center"/>
        </w:tcPr>
        <w:p w:rsidR="00BD287A" w:rsidRPr="00BD287A" w:rsidRDefault="00BD287A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BD287A" w:rsidRPr="00BD287A" w:rsidRDefault="00BD287A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D287A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BD287A" w:rsidRPr="00BD287A" w:rsidRDefault="000447BB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BD287A" w:rsidRPr="00BD287A" w:rsidRDefault="00BD287A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BD287A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BD287A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0" w:rsidRDefault="002221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442"/>
    <w:multiLevelType w:val="hybridMultilevel"/>
    <w:tmpl w:val="ACE6A2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4084D"/>
    <w:rsid w:val="000447BB"/>
    <w:rsid w:val="00061C06"/>
    <w:rsid w:val="00075B07"/>
    <w:rsid w:val="00076CD6"/>
    <w:rsid w:val="00093D43"/>
    <w:rsid w:val="0018580F"/>
    <w:rsid w:val="00222100"/>
    <w:rsid w:val="00396955"/>
    <w:rsid w:val="003B42E8"/>
    <w:rsid w:val="003E3782"/>
    <w:rsid w:val="005A11E2"/>
    <w:rsid w:val="005E05C7"/>
    <w:rsid w:val="006171CA"/>
    <w:rsid w:val="006D4614"/>
    <w:rsid w:val="007B09CC"/>
    <w:rsid w:val="00802956"/>
    <w:rsid w:val="008A7D74"/>
    <w:rsid w:val="0098084A"/>
    <w:rsid w:val="00990F70"/>
    <w:rsid w:val="00996495"/>
    <w:rsid w:val="00AB2C74"/>
    <w:rsid w:val="00BD287A"/>
    <w:rsid w:val="00D0325D"/>
    <w:rsid w:val="00E305BB"/>
    <w:rsid w:val="00E41B60"/>
    <w:rsid w:val="00FA3D3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paragraph" w:styleId="Prrafodelista">
    <w:name w:val="List Paragraph"/>
    <w:basedOn w:val="Normal"/>
    <w:uiPriority w:val="34"/>
    <w:qFormat/>
    <w:rsid w:val="0061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  <w:style w:type="paragraph" w:styleId="Prrafodelista">
    <w:name w:val="List Paragraph"/>
    <w:basedOn w:val="Normal"/>
    <w:uiPriority w:val="34"/>
    <w:qFormat/>
    <w:rsid w:val="0061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7184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3</cp:revision>
  <cp:lastPrinted>2009-08-10T22:31:00Z</cp:lastPrinted>
  <dcterms:created xsi:type="dcterms:W3CDTF">2014-03-14T12:28:00Z</dcterms:created>
  <dcterms:modified xsi:type="dcterms:W3CDTF">2014-11-26T14:20:00Z</dcterms:modified>
</cp:coreProperties>
</file>